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cs="仿宋_GB2312"/>
          <w:color w:val="000000" w:themeColor="text1"/>
          <w:sz w:val="36"/>
          <w:szCs w:val="44"/>
        </w:rPr>
      </w:pPr>
    </w:p>
    <w:p>
      <w:pPr>
        <w:ind w:firstLine="0" w:firstLineChars="0"/>
        <w:rPr>
          <w:rFonts w:cs="仿宋_GB2312"/>
          <w:color w:val="000000" w:themeColor="text1"/>
          <w:sz w:val="36"/>
          <w:szCs w:val="44"/>
        </w:rPr>
      </w:pPr>
    </w:p>
    <w:p>
      <w:pPr>
        <w:spacing w:line="360" w:lineRule="auto"/>
        <w:ind w:firstLine="0" w:firstLineChars="0"/>
        <w:jc w:val="center"/>
        <w:rPr>
          <w:rFonts w:eastAsia="方正小标宋简体" w:cs="方正小标宋简体"/>
          <w:color w:val="000000" w:themeColor="text1"/>
          <w:sz w:val="44"/>
          <w:szCs w:val="52"/>
        </w:rPr>
      </w:pPr>
      <w:r>
        <w:rPr>
          <w:rFonts w:hint="eastAsia" w:eastAsia="方正小标宋简体" w:cs="方正小标宋简体"/>
          <w:color w:val="000000" w:themeColor="text1"/>
          <w:sz w:val="44"/>
          <w:szCs w:val="52"/>
        </w:rPr>
        <w:t>广东省人力资源和社会保障厅</w:t>
      </w:r>
    </w:p>
    <w:p>
      <w:pPr>
        <w:spacing w:line="360" w:lineRule="auto"/>
        <w:ind w:firstLine="0" w:firstLineChars="0"/>
        <w:jc w:val="center"/>
        <w:rPr>
          <w:rFonts w:eastAsia="方正小标宋简体" w:cs="方正小标宋简体"/>
          <w:color w:val="000000" w:themeColor="text1"/>
          <w:sz w:val="52"/>
          <w:szCs w:val="72"/>
        </w:rPr>
      </w:pPr>
      <w:r>
        <w:rPr>
          <w:rFonts w:hint="eastAsia" w:eastAsia="方正小标宋简体" w:cs="方正小标宋简体"/>
          <w:color w:val="000000" w:themeColor="text1"/>
          <w:sz w:val="44"/>
          <w:szCs w:val="52"/>
        </w:rPr>
        <w:t>2022年部门整体支出绩效自评报告</w:t>
      </w:r>
    </w:p>
    <w:p>
      <w:pPr>
        <w:ind w:firstLine="1040"/>
        <w:jc w:val="center"/>
        <w:rPr>
          <w:rFonts w:eastAsia="方正小标宋简体" w:cs="方正小标宋简体"/>
          <w:color w:val="000000" w:themeColor="text1"/>
          <w:sz w:val="52"/>
          <w:szCs w:val="72"/>
        </w:rPr>
      </w:pPr>
    </w:p>
    <w:p>
      <w:pPr>
        <w:ind w:firstLine="1040"/>
        <w:jc w:val="center"/>
        <w:rPr>
          <w:rFonts w:eastAsia="方正小标宋简体" w:cs="方正小标宋简体"/>
          <w:color w:val="000000" w:themeColor="text1"/>
          <w:sz w:val="52"/>
          <w:szCs w:val="72"/>
        </w:rPr>
      </w:pPr>
    </w:p>
    <w:p>
      <w:pPr>
        <w:ind w:firstLine="1040"/>
        <w:jc w:val="center"/>
        <w:rPr>
          <w:rFonts w:eastAsia="方正小标宋简体" w:cs="方正小标宋简体"/>
          <w:color w:val="000000" w:themeColor="text1"/>
          <w:sz w:val="52"/>
          <w:szCs w:val="72"/>
        </w:rPr>
      </w:pPr>
    </w:p>
    <w:p>
      <w:pPr>
        <w:ind w:firstLine="1040"/>
        <w:jc w:val="center"/>
        <w:rPr>
          <w:rFonts w:eastAsia="方正小标宋简体" w:cs="方正小标宋简体"/>
          <w:color w:val="000000" w:themeColor="text1"/>
          <w:sz w:val="52"/>
          <w:szCs w:val="72"/>
        </w:rPr>
      </w:pPr>
    </w:p>
    <w:p>
      <w:pPr>
        <w:pStyle w:val="2"/>
        <w:ind w:firstLine="1040"/>
        <w:rPr>
          <w:rFonts w:eastAsia="方正小标宋简体" w:cs="方正小标宋简体"/>
          <w:color w:val="000000" w:themeColor="text1"/>
          <w:sz w:val="52"/>
          <w:szCs w:val="72"/>
        </w:rPr>
      </w:pPr>
    </w:p>
    <w:p>
      <w:pPr>
        <w:ind w:firstLine="640"/>
        <w:rPr>
          <w:color w:val="000000" w:themeColor="text1"/>
        </w:rPr>
      </w:pPr>
    </w:p>
    <w:p>
      <w:pPr>
        <w:pStyle w:val="21"/>
        <w:rPr>
          <w:rFonts w:hint="default" w:ascii="Times New Roman" w:hAnsi="Times New Roman"/>
          <w:color w:val="000000" w:themeColor="text1"/>
        </w:rPr>
      </w:pPr>
    </w:p>
    <w:p>
      <w:pPr>
        <w:ind w:firstLine="640"/>
        <w:rPr>
          <w:color w:val="000000" w:themeColor="text1"/>
        </w:rPr>
      </w:pPr>
    </w:p>
    <w:p>
      <w:pPr>
        <w:pStyle w:val="21"/>
        <w:rPr>
          <w:rFonts w:hint="default" w:ascii="Times New Roman" w:hAnsi="Times New Roman"/>
          <w:color w:val="000000" w:themeColor="text1"/>
        </w:rPr>
      </w:pPr>
    </w:p>
    <w:p>
      <w:pPr>
        <w:ind w:firstLine="640"/>
        <w:rPr>
          <w:color w:val="000000" w:themeColor="text1"/>
        </w:rPr>
      </w:pPr>
    </w:p>
    <w:p>
      <w:pPr>
        <w:pStyle w:val="21"/>
        <w:rPr>
          <w:rFonts w:hint="default" w:ascii="Times New Roman" w:hAnsi="Times New Roman"/>
          <w:color w:val="000000" w:themeColor="text1"/>
        </w:rPr>
      </w:pPr>
    </w:p>
    <w:p>
      <w:pPr>
        <w:ind w:firstLine="640"/>
        <w:rPr>
          <w:color w:val="000000" w:themeColor="text1"/>
        </w:rPr>
      </w:pPr>
    </w:p>
    <w:p>
      <w:pPr>
        <w:pStyle w:val="21"/>
        <w:rPr>
          <w:rFonts w:hint="default" w:ascii="Times New Roman" w:hAnsi="Times New Roman"/>
          <w:color w:val="000000" w:themeColor="text1"/>
        </w:rPr>
      </w:pPr>
    </w:p>
    <w:p>
      <w:pPr>
        <w:ind w:firstLine="1040"/>
        <w:jc w:val="center"/>
        <w:rPr>
          <w:rFonts w:eastAsia="方正小标宋简体" w:cs="方正小标宋简体"/>
          <w:color w:val="000000" w:themeColor="text1"/>
          <w:sz w:val="52"/>
          <w:szCs w:val="72"/>
        </w:rPr>
      </w:pPr>
    </w:p>
    <w:p>
      <w:pPr>
        <w:ind w:firstLine="0" w:firstLineChars="0"/>
        <w:jc w:val="left"/>
        <w:rPr>
          <w:rFonts w:cs="Times New Roman"/>
          <w:color w:val="000000" w:themeColor="text1"/>
          <w:szCs w:val="40"/>
        </w:rPr>
      </w:pPr>
      <w:r>
        <w:rPr>
          <w:rFonts w:cs="Times New Roman"/>
          <w:color w:val="000000" w:themeColor="text1"/>
          <w:szCs w:val="40"/>
        </w:rPr>
        <w:t>部门名称：广东省</w:t>
      </w:r>
      <w:r>
        <w:rPr>
          <w:rFonts w:hint="eastAsia" w:cs="Times New Roman"/>
          <w:color w:val="000000" w:themeColor="text1"/>
          <w:szCs w:val="40"/>
        </w:rPr>
        <w:t>人力资源和社会保障厅</w:t>
      </w:r>
      <w:r>
        <w:rPr>
          <w:rFonts w:cs="Times New Roman"/>
          <w:color w:val="000000" w:themeColor="text1"/>
          <w:szCs w:val="40"/>
        </w:rPr>
        <w:t>（公章）</w:t>
      </w:r>
    </w:p>
    <w:p>
      <w:pPr>
        <w:ind w:firstLine="0" w:firstLineChars="0"/>
        <w:jc w:val="left"/>
        <w:rPr>
          <w:rFonts w:cs="Times New Roman"/>
          <w:color w:val="000000" w:themeColor="text1"/>
          <w:szCs w:val="40"/>
        </w:rPr>
      </w:pPr>
      <w:r>
        <w:rPr>
          <w:rFonts w:hint="eastAsia" w:cs="Times New Roman"/>
          <w:color w:val="000000" w:themeColor="text1"/>
          <w:szCs w:val="40"/>
        </w:rPr>
        <w:t>所属下级</w:t>
      </w:r>
      <w:r>
        <w:rPr>
          <w:rFonts w:cs="Times New Roman"/>
          <w:color w:val="000000" w:themeColor="text1"/>
          <w:szCs w:val="40"/>
        </w:rPr>
        <w:t>预算单位数量：</w:t>
      </w:r>
      <w:r>
        <w:rPr>
          <w:rFonts w:hint="eastAsia" w:cs="Times New Roman"/>
          <w:color w:val="000000" w:themeColor="text1"/>
          <w:szCs w:val="40"/>
        </w:rPr>
        <w:t>19个</w:t>
      </w:r>
    </w:p>
    <w:p>
      <w:pPr>
        <w:ind w:firstLine="0" w:firstLineChars="0"/>
        <w:jc w:val="left"/>
        <w:rPr>
          <w:rFonts w:cs="Times New Roman"/>
          <w:color w:val="000000" w:themeColor="text1"/>
          <w:szCs w:val="40"/>
        </w:rPr>
      </w:pPr>
      <w:r>
        <w:rPr>
          <w:rFonts w:cs="Times New Roman"/>
          <w:color w:val="000000" w:themeColor="text1"/>
          <w:szCs w:val="40"/>
        </w:rPr>
        <w:t>填报人：</w:t>
      </w:r>
    </w:p>
    <w:p>
      <w:pPr>
        <w:ind w:firstLine="0" w:firstLineChars="0"/>
        <w:jc w:val="left"/>
        <w:rPr>
          <w:rFonts w:cs="Times New Roman"/>
          <w:color w:val="000000" w:themeColor="text1"/>
          <w:szCs w:val="40"/>
        </w:rPr>
      </w:pPr>
      <w:r>
        <w:rPr>
          <w:rFonts w:cs="Times New Roman"/>
          <w:color w:val="000000" w:themeColor="text1"/>
          <w:szCs w:val="40"/>
        </w:rPr>
        <w:t>联系电话：</w:t>
      </w:r>
    </w:p>
    <w:p>
      <w:pPr>
        <w:ind w:firstLine="0" w:firstLineChars="0"/>
        <w:jc w:val="left"/>
        <w:rPr>
          <w:rFonts w:cs="Times New Roman"/>
          <w:color w:val="000000" w:themeColor="text1"/>
          <w:szCs w:val="40"/>
        </w:rPr>
      </w:pPr>
      <w:r>
        <w:rPr>
          <w:rFonts w:cs="Times New Roman"/>
          <w:color w:val="000000" w:themeColor="text1"/>
          <w:szCs w:val="40"/>
        </w:rPr>
        <w:t>填报日期：</w:t>
      </w:r>
      <w:r>
        <w:rPr>
          <w:rFonts w:hint="eastAsia" w:cs="Times New Roman"/>
          <w:color w:val="000000" w:themeColor="text1"/>
          <w:szCs w:val="40"/>
        </w:rPr>
        <w:t xml:space="preserve">      </w:t>
      </w:r>
      <w:r>
        <w:rPr>
          <w:rFonts w:cs="Times New Roman"/>
          <w:color w:val="000000" w:themeColor="text1"/>
          <w:szCs w:val="40"/>
        </w:rPr>
        <w:t>年</w:t>
      </w:r>
      <w:r>
        <w:rPr>
          <w:rFonts w:hint="eastAsia" w:cs="Times New Roman"/>
          <w:color w:val="000000" w:themeColor="text1"/>
          <w:szCs w:val="40"/>
        </w:rPr>
        <w:t xml:space="preserve">    </w:t>
      </w:r>
      <w:r>
        <w:rPr>
          <w:rFonts w:cs="Times New Roman"/>
          <w:color w:val="000000" w:themeColor="text1"/>
          <w:szCs w:val="40"/>
        </w:rPr>
        <w:t>月</w:t>
      </w:r>
      <w:r>
        <w:rPr>
          <w:rFonts w:hint="eastAsia" w:cs="Times New Roman"/>
          <w:color w:val="000000" w:themeColor="text1"/>
          <w:szCs w:val="40"/>
        </w:rPr>
        <w:t xml:space="preserve">    </w:t>
      </w:r>
      <w:r>
        <w:rPr>
          <w:rFonts w:cs="Times New Roman"/>
          <w:color w:val="000000" w:themeColor="text1"/>
          <w:szCs w:val="40"/>
        </w:rPr>
        <w:t>日</w:t>
      </w:r>
    </w:p>
    <w:p>
      <w:pPr>
        <w:pStyle w:val="21"/>
        <w:rPr>
          <w:rFonts w:hint="default" w:ascii="Times New Roman" w:hAnsi="Times New Roman"/>
          <w:color w:val="000000" w:themeColor="text1"/>
        </w:rPr>
      </w:pPr>
    </w:p>
    <w:p>
      <w:pPr>
        <w:ind w:firstLine="800"/>
        <w:rPr>
          <w:rFonts w:eastAsia="黑体" w:cs="黑体"/>
          <w:color w:val="000000" w:themeColor="text1"/>
          <w:sz w:val="40"/>
          <w:szCs w:val="48"/>
        </w:rPr>
        <w:sectPr>
          <w:headerReference r:id="rId7" w:type="first"/>
          <w:footerReference r:id="rId10" w:type="first"/>
          <w:headerReference r:id="rId5" w:type="default"/>
          <w:footerReference r:id="rId8" w:type="default"/>
          <w:headerReference r:id="rId6" w:type="even"/>
          <w:footerReference r:id="rId9" w:type="even"/>
          <w:pgSz w:w="11906" w:h="16838"/>
          <w:pgMar w:top="1440" w:right="1587" w:bottom="1440" w:left="1587" w:header="851" w:footer="992" w:gutter="0"/>
          <w:cols w:space="425" w:num="1"/>
          <w:docGrid w:type="lines" w:linePitch="312" w:charSpace="0"/>
        </w:sectPr>
      </w:pPr>
    </w:p>
    <w:sdt>
      <w:sdtPr>
        <w:rPr>
          <w:rFonts w:hint="eastAsia" w:eastAsia="方正小标宋简体" w:cs="方正小标宋简体"/>
          <w:color w:val="000000" w:themeColor="text1"/>
          <w:sz w:val="22"/>
          <w:szCs w:val="32"/>
        </w:rPr>
        <w:id w:val="147481092"/>
        <w:docPartObj>
          <w:docPartGallery w:val="Table of Contents"/>
          <w:docPartUnique/>
        </w:docPartObj>
      </w:sdtPr>
      <w:sdtEndPr>
        <w:rPr>
          <w:rFonts w:hint="default" w:eastAsia="仿宋_GB2312" w:cs="Times New Roman"/>
          <w:color w:val="000000" w:themeColor="text1"/>
          <w:sz w:val="22"/>
          <w:szCs w:val="22"/>
        </w:rPr>
      </w:sdtEndPr>
      <w:sdtContent>
        <w:p>
          <w:pPr>
            <w:spacing w:line="240" w:lineRule="auto"/>
            <w:ind w:firstLine="0" w:firstLineChars="0"/>
            <w:jc w:val="center"/>
            <w:rPr>
              <w:rFonts w:eastAsia="方正小标宋简体" w:cs="方正小标宋简体"/>
              <w:color w:val="000000" w:themeColor="text1"/>
              <w:szCs w:val="32"/>
            </w:rPr>
          </w:pPr>
        </w:p>
        <w:p>
          <w:pPr>
            <w:spacing w:line="240" w:lineRule="auto"/>
            <w:ind w:firstLine="0" w:firstLineChars="0"/>
            <w:jc w:val="center"/>
            <w:rPr>
              <w:rFonts w:eastAsia="方正小标宋简体" w:cs="方正小标宋简体"/>
              <w:color w:val="000000" w:themeColor="text1"/>
              <w:sz w:val="36"/>
              <w:szCs w:val="36"/>
            </w:rPr>
          </w:pPr>
          <w:r>
            <w:rPr>
              <w:rFonts w:hint="eastAsia" w:eastAsia="方正小标宋简体" w:cs="方正小标宋简体"/>
              <w:color w:val="000000" w:themeColor="text1"/>
              <w:sz w:val="36"/>
              <w:szCs w:val="36"/>
            </w:rPr>
            <w:t>目 录</w:t>
          </w:r>
        </w:p>
        <w:p>
          <w:pPr>
            <w:pStyle w:val="14"/>
            <w:ind w:firstLine="440"/>
            <w:rPr>
              <w:rFonts w:ascii="Times New Roman" w:hAnsi="Times New Roman"/>
              <w:color w:val="000000" w:themeColor="text1"/>
            </w:rPr>
          </w:pPr>
        </w:p>
        <w:p>
          <w:pPr>
            <w:pStyle w:val="12"/>
            <w:tabs>
              <w:tab w:val="right" w:leader="dot" w:pos="8732"/>
            </w:tabs>
            <w:spacing w:line="560" w:lineRule="exact"/>
            <w:ind w:firstLine="640"/>
            <w:rPr>
              <w:rFonts w:cs="Times New Roman"/>
              <w:color w:val="000000" w:themeColor="text1"/>
              <w:szCs w:val="32"/>
            </w:rPr>
          </w:pPr>
          <w:r>
            <w:rPr>
              <w:rFonts w:cs="Times New Roman"/>
              <w:color w:val="000000" w:themeColor="text1"/>
            </w:rPr>
            <w:fldChar w:fldCharType="begin"/>
          </w:r>
          <w:r>
            <w:rPr>
              <w:rFonts w:cs="Times New Roman"/>
              <w:color w:val="000000" w:themeColor="text1"/>
            </w:rPr>
            <w:instrText xml:space="preserve">TOC \o "1-3" \h \u </w:instrText>
          </w:r>
          <w:r>
            <w:rPr>
              <w:rFonts w:cs="Times New Roman"/>
              <w:color w:val="000000" w:themeColor="text1"/>
            </w:rPr>
            <w:fldChar w:fldCharType="separate"/>
          </w:r>
          <w:r>
            <w:fldChar w:fldCharType="begin"/>
          </w:r>
          <w:r>
            <w:instrText xml:space="preserve"> HYPERLINK \l "_Toc13174" </w:instrText>
          </w:r>
          <w:r>
            <w:fldChar w:fldCharType="separate"/>
          </w:r>
          <w:r>
            <w:rPr>
              <w:rFonts w:cs="Times New Roman"/>
              <w:b/>
              <w:bCs/>
              <w:color w:val="000000" w:themeColor="text1"/>
              <w:szCs w:val="32"/>
            </w:rPr>
            <w:t>一、部门基本情况</w:t>
          </w:r>
          <w:r>
            <w:rPr>
              <w:rFonts w:cs="Times New Roman"/>
              <w:b/>
              <w:bCs/>
              <w:color w:val="000000" w:themeColor="text1"/>
              <w:szCs w:val="32"/>
            </w:rPr>
            <w:tab/>
          </w:r>
          <w:r>
            <w:rPr>
              <w:rFonts w:cs="Times New Roman"/>
              <w:b/>
              <w:bCs/>
              <w:color w:val="000000" w:themeColor="text1"/>
              <w:szCs w:val="32"/>
            </w:rPr>
            <w:fldChar w:fldCharType="begin"/>
          </w:r>
          <w:r>
            <w:rPr>
              <w:rFonts w:cs="Times New Roman"/>
              <w:b/>
              <w:bCs/>
              <w:color w:val="000000" w:themeColor="text1"/>
              <w:szCs w:val="32"/>
            </w:rPr>
            <w:instrText xml:space="preserve"> PAGEREF _Toc13174 \h </w:instrText>
          </w:r>
          <w:r>
            <w:rPr>
              <w:rFonts w:cs="Times New Roman"/>
              <w:b/>
              <w:bCs/>
              <w:color w:val="000000" w:themeColor="text1"/>
              <w:szCs w:val="32"/>
            </w:rPr>
            <w:fldChar w:fldCharType="separate"/>
          </w:r>
          <w:r>
            <w:rPr>
              <w:rFonts w:cs="Times New Roman"/>
              <w:b/>
              <w:bCs/>
              <w:color w:val="000000" w:themeColor="text1"/>
              <w:szCs w:val="32"/>
            </w:rPr>
            <w:t>- 1 -</w:t>
          </w:r>
          <w:r>
            <w:rPr>
              <w:rFonts w:cs="Times New Roman"/>
              <w:b/>
              <w:bCs/>
              <w:color w:val="000000" w:themeColor="text1"/>
              <w:szCs w:val="32"/>
            </w:rPr>
            <w:fldChar w:fldCharType="end"/>
          </w:r>
          <w:r>
            <w:rPr>
              <w:rFonts w:cs="Times New Roman"/>
              <w:b/>
              <w:bCs/>
              <w:color w:val="000000" w:themeColor="text1"/>
              <w:szCs w:val="32"/>
            </w:rPr>
            <w:fldChar w:fldCharType="end"/>
          </w:r>
        </w:p>
        <w:p>
          <w:pPr>
            <w:pStyle w:val="14"/>
            <w:tabs>
              <w:tab w:val="right" w:leader="dot" w:pos="8732"/>
            </w:tabs>
            <w:spacing w:line="560" w:lineRule="exact"/>
            <w:ind w:firstLine="440"/>
            <w:rPr>
              <w:rFonts w:ascii="Times New Roman" w:hAnsi="Times New Roman" w:eastAsia="仿宋_GB2312" w:cs="Times New Roman"/>
              <w:color w:val="000000" w:themeColor="text1"/>
              <w:sz w:val="32"/>
              <w:szCs w:val="32"/>
            </w:rPr>
          </w:pPr>
          <w:r>
            <w:fldChar w:fldCharType="begin"/>
          </w:r>
          <w:r>
            <w:instrText xml:space="preserve"> HYPERLINK \l "_Toc2050" </w:instrText>
          </w:r>
          <w:r>
            <w:fldChar w:fldCharType="separate"/>
          </w:r>
          <w:r>
            <w:rPr>
              <w:rFonts w:ascii="Times New Roman" w:hAnsi="Times New Roman" w:eastAsia="仿宋_GB2312" w:cs="Times New Roman"/>
              <w:color w:val="000000" w:themeColor="text1"/>
              <w:sz w:val="32"/>
              <w:szCs w:val="32"/>
            </w:rPr>
            <w:t>（一）部门职能</w:t>
          </w:r>
          <w:r>
            <w:rPr>
              <w:rFonts w:ascii="Times New Roman" w:hAnsi="Times New Roman" w:eastAsia="仿宋_GB2312" w:cs="Times New Roman"/>
              <w:color w:val="000000" w:themeColor="text1"/>
              <w:sz w:val="32"/>
              <w:szCs w:val="32"/>
            </w:rPr>
            <w:tab/>
          </w:r>
          <w:r>
            <w:rPr>
              <w:rFonts w:ascii="Times New Roman" w:hAnsi="Times New Roman" w:eastAsia="仿宋_GB2312" w:cs="Times New Roman"/>
              <w:color w:val="000000" w:themeColor="text1"/>
              <w:sz w:val="32"/>
              <w:szCs w:val="32"/>
            </w:rPr>
            <w:fldChar w:fldCharType="begin"/>
          </w:r>
          <w:r>
            <w:rPr>
              <w:rFonts w:ascii="Times New Roman" w:hAnsi="Times New Roman" w:eastAsia="仿宋_GB2312" w:cs="Times New Roman"/>
              <w:color w:val="000000" w:themeColor="text1"/>
              <w:sz w:val="32"/>
              <w:szCs w:val="32"/>
            </w:rPr>
            <w:instrText xml:space="preserve"> PAGEREF _Toc2050 \h </w:instrText>
          </w:r>
          <w:r>
            <w:rPr>
              <w:rFonts w:ascii="Times New Roman" w:hAnsi="Times New Roman" w:eastAsia="仿宋_GB2312" w:cs="Times New Roman"/>
              <w:color w:val="000000" w:themeColor="text1"/>
              <w:sz w:val="32"/>
              <w:szCs w:val="32"/>
            </w:rPr>
            <w:fldChar w:fldCharType="separate"/>
          </w:r>
          <w:r>
            <w:rPr>
              <w:rFonts w:ascii="Times New Roman" w:hAnsi="Times New Roman" w:eastAsia="仿宋_GB2312" w:cs="Times New Roman"/>
              <w:color w:val="000000" w:themeColor="text1"/>
              <w:sz w:val="32"/>
              <w:szCs w:val="32"/>
            </w:rPr>
            <w:t>- 1 -</w:t>
          </w:r>
          <w:r>
            <w:rPr>
              <w:rFonts w:ascii="Times New Roman" w:hAnsi="Times New Roman" w:eastAsia="仿宋_GB2312" w:cs="Times New Roman"/>
              <w:color w:val="000000" w:themeColor="text1"/>
              <w:sz w:val="32"/>
              <w:szCs w:val="32"/>
            </w:rPr>
            <w:fldChar w:fldCharType="end"/>
          </w:r>
          <w:r>
            <w:rPr>
              <w:rFonts w:ascii="Times New Roman" w:hAnsi="Times New Roman" w:eastAsia="仿宋_GB2312" w:cs="Times New Roman"/>
              <w:color w:val="000000" w:themeColor="text1"/>
              <w:sz w:val="32"/>
              <w:szCs w:val="32"/>
            </w:rPr>
            <w:fldChar w:fldCharType="end"/>
          </w:r>
        </w:p>
        <w:p>
          <w:pPr>
            <w:pStyle w:val="14"/>
            <w:tabs>
              <w:tab w:val="right" w:leader="dot" w:pos="8732"/>
            </w:tabs>
            <w:spacing w:line="560" w:lineRule="exact"/>
            <w:ind w:firstLine="440"/>
            <w:rPr>
              <w:rFonts w:ascii="Times New Roman" w:hAnsi="Times New Roman" w:eastAsia="仿宋_GB2312" w:cs="Times New Roman"/>
              <w:color w:val="000000" w:themeColor="text1"/>
              <w:sz w:val="32"/>
              <w:szCs w:val="32"/>
            </w:rPr>
          </w:pPr>
          <w:r>
            <w:fldChar w:fldCharType="begin"/>
          </w:r>
          <w:r>
            <w:instrText xml:space="preserve"> HYPERLINK \l "_Toc252" </w:instrText>
          </w:r>
          <w:r>
            <w:fldChar w:fldCharType="separate"/>
          </w:r>
          <w:r>
            <w:rPr>
              <w:rFonts w:ascii="Times New Roman" w:hAnsi="Times New Roman" w:eastAsia="仿宋_GB2312" w:cs="Times New Roman"/>
              <w:color w:val="000000" w:themeColor="text1"/>
              <w:sz w:val="32"/>
              <w:szCs w:val="32"/>
            </w:rPr>
            <w:t>（二）年度总体工作和重点工作任务</w:t>
          </w:r>
          <w:r>
            <w:rPr>
              <w:rFonts w:ascii="Times New Roman" w:hAnsi="Times New Roman" w:eastAsia="仿宋_GB2312" w:cs="Times New Roman"/>
              <w:color w:val="000000" w:themeColor="text1"/>
              <w:sz w:val="32"/>
              <w:szCs w:val="32"/>
            </w:rPr>
            <w:tab/>
          </w:r>
          <w:r>
            <w:rPr>
              <w:rFonts w:ascii="Times New Roman" w:hAnsi="Times New Roman" w:eastAsia="仿宋_GB2312" w:cs="Times New Roman"/>
              <w:color w:val="000000" w:themeColor="text1"/>
              <w:sz w:val="32"/>
              <w:szCs w:val="32"/>
            </w:rPr>
            <w:fldChar w:fldCharType="begin"/>
          </w:r>
          <w:r>
            <w:rPr>
              <w:rFonts w:ascii="Times New Roman" w:hAnsi="Times New Roman" w:eastAsia="仿宋_GB2312" w:cs="Times New Roman"/>
              <w:color w:val="000000" w:themeColor="text1"/>
              <w:sz w:val="32"/>
              <w:szCs w:val="32"/>
            </w:rPr>
            <w:instrText xml:space="preserve"> PAGEREF _Toc252 \h </w:instrText>
          </w:r>
          <w:r>
            <w:rPr>
              <w:rFonts w:ascii="Times New Roman" w:hAnsi="Times New Roman" w:eastAsia="仿宋_GB2312" w:cs="Times New Roman"/>
              <w:color w:val="000000" w:themeColor="text1"/>
              <w:sz w:val="32"/>
              <w:szCs w:val="32"/>
            </w:rPr>
            <w:fldChar w:fldCharType="separate"/>
          </w:r>
          <w:r>
            <w:rPr>
              <w:rFonts w:ascii="Times New Roman" w:hAnsi="Times New Roman" w:eastAsia="仿宋_GB2312" w:cs="Times New Roman"/>
              <w:color w:val="000000" w:themeColor="text1"/>
              <w:sz w:val="32"/>
              <w:szCs w:val="32"/>
            </w:rPr>
            <w:t>- 3 -</w:t>
          </w:r>
          <w:r>
            <w:rPr>
              <w:rFonts w:ascii="Times New Roman" w:hAnsi="Times New Roman" w:eastAsia="仿宋_GB2312" w:cs="Times New Roman"/>
              <w:color w:val="000000" w:themeColor="text1"/>
              <w:sz w:val="32"/>
              <w:szCs w:val="32"/>
            </w:rPr>
            <w:fldChar w:fldCharType="end"/>
          </w:r>
          <w:r>
            <w:rPr>
              <w:rFonts w:ascii="Times New Roman" w:hAnsi="Times New Roman" w:eastAsia="仿宋_GB2312" w:cs="Times New Roman"/>
              <w:color w:val="000000" w:themeColor="text1"/>
              <w:sz w:val="32"/>
              <w:szCs w:val="32"/>
            </w:rPr>
            <w:fldChar w:fldCharType="end"/>
          </w:r>
        </w:p>
        <w:p>
          <w:pPr>
            <w:pStyle w:val="14"/>
            <w:tabs>
              <w:tab w:val="right" w:leader="dot" w:pos="8732"/>
            </w:tabs>
            <w:spacing w:line="560" w:lineRule="exact"/>
            <w:ind w:firstLine="440"/>
            <w:rPr>
              <w:rFonts w:ascii="Times New Roman" w:hAnsi="Times New Roman" w:eastAsia="仿宋_GB2312" w:cs="Times New Roman"/>
              <w:color w:val="000000" w:themeColor="text1"/>
              <w:sz w:val="32"/>
              <w:szCs w:val="32"/>
            </w:rPr>
          </w:pPr>
          <w:r>
            <w:fldChar w:fldCharType="begin"/>
          </w:r>
          <w:r>
            <w:instrText xml:space="preserve"> HYPERLINK \l "_Toc11151" </w:instrText>
          </w:r>
          <w:r>
            <w:fldChar w:fldCharType="separate"/>
          </w:r>
          <w:r>
            <w:rPr>
              <w:rFonts w:ascii="Times New Roman" w:hAnsi="Times New Roman" w:eastAsia="仿宋_GB2312" w:cs="Times New Roman"/>
              <w:color w:val="000000" w:themeColor="text1"/>
              <w:sz w:val="32"/>
              <w:szCs w:val="32"/>
            </w:rPr>
            <w:t>（三）部门整体支出绩效目标</w:t>
          </w:r>
          <w:r>
            <w:rPr>
              <w:rFonts w:ascii="Times New Roman" w:hAnsi="Times New Roman" w:eastAsia="仿宋_GB2312" w:cs="Times New Roman"/>
              <w:color w:val="000000" w:themeColor="text1"/>
              <w:sz w:val="32"/>
              <w:szCs w:val="32"/>
            </w:rPr>
            <w:tab/>
          </w:r>
          <w:r>
            <w:rPr>
              <w:rFonts w:ascii="Times New Roman" w:hAnsi="Times New Roman" w:eastAsia="仿宋_GB2312" w:cs="Times New Roman"/>
              <w:color w:val="000000" w:themeColor="text1"/>
              <w:sz w:val="32"/>
              <w:szCs w:val="32"/>
            </w:rPr>
            <w:fldChar w:fldCharType="begin"/>
          </w:r>
          <w:r>
            <w:rPr>
              <w:rFonts w:ascii="Times New Roman" w:hAnsi="Times New Roman" w:eastAsia="仿宋_GB2312" w:cs="Times New Roman"/>
              <w:color w:val="000000" w:themeColor="text1"/>
              <w:sz w:val="32"/>
              <w:szCs w:val="32"/>
            </w:rPr>
            <w:instrText xml:space="preserve"> PAGEREF _Toc11151 \h </w:instrText>
          </w:r>
          <w:r>
            <w:rPr>
              <w:rFonts w:ascii="Times New Roman" w:hAnsi="Times New Roman" w:eastAsia="仿宋_GB2312" w:cs="Times New Roman"/>
              <w:color w:val="000000" w:themeColor="text1"/>
              <w:sz w:val="32"/>
              <w:szCs w:val="32"/>
            </w:rPr>
            <w:fldChar w:fldCharType="separate"/>
          </w:r>
          <w:r>
            <w:rPr>
              <w:rFonts w:ascii="Times New Roman" w:hAnsi="Times New Roman" w:eastAsia="仿宋_GB2312" w:cs="Times New Roman"/>
              <w:color w:val="000000" w:themeColor="text1"/>
              <w:sz w:val="32"/>
              <w:szCs w:val="32"/>
            </w:rPr>
            <w:t>- 6 -</w:t>
          </w:r>
          <w:r>
            <w:rPr>
              <w:rFonts w:ascii="Times New Roman" w:hAnsi="Times New Roman" w:eastAsia="仿宋_GB2312" w:cs="Times New Roman"/>
              <w:color w:val="000000" w:themeColor="text1"/>
              <w:sz w:val="32"/>
              <w:szCs w:val="32"/>
            </w:rPr>
            <w:fldChar w:fldCharType="end"/>
          </w:r>
          <w:r>
            <w:rPr>
              <w:rFonts w:ascii="Times New Roman" w:hAnsi="Times New Roman" w:eastAsia="仿宋_GB2312" w:cs="Times New Roman"/>
              <w:color w:val="000000" w:themeColor="text1"/>
              <w:sz w:val="32"/>
              <w:szCs w:val="32"/>
            </w:rPr>
            <w:fldChar w:fldCharType="end"/>
          </w:r>
        </w:p>
        <w:p>
          <w:pPr>
            <w:pStyle w:val="14"/>
            <w:tabs>
              <w:tab w:val="right" w:leader="dot" w:pos="8732"/>
            </w:tabs>
            <w:spacing w:line="560" w:lineRule="exact"/>
            <w:ind w:firstLine="440"/>
            <w:rPr>
              <w:rFonts w:ascii="Times New Roman" w:hAnsi="Times New Roman" w:eastAsia="仿宋_GB2312" w:cs="Times New Roman"/>
              <w:color w:val="000000" w:themeColor="text1"/>
              <w:sz w:val="32"/>
              <w:szCs w:val="32"/>
            </w:rPr>
          </w:pPr>
          <w:r>
            <w:fldChar w:fldCharType="begin"/>
          </w:r>
          <w:r>
            <w:instrText xml:space="preserve"> HYPERLINK \l "_Toc27615" </w:instrText>
          </w:r>
          <w:r>
            <w:fldChar w:fldCharType="separate"/>
          </w:r>
          <w:r>
            <w:rPr>
              <w:rFonts w:ascii="Times New Roman" w:hAnsi="Times New Roman" w:eastAsia="仿宋_GB2312" w:cs="Times New Roman"/>
              <w:color w:val="000000" w:themeColor="text1"/>
              <w:sz w:val="32"/>
              <w:szCs w:val="32"/>
            </w:rPr>
            <w:t>（四）部门整体收支情况</w:t>
          </w:r>
          <w:r>
            <w:rPr>
              <w:rFonts w:ascii="Times New Roman" w:hAnsi="Times New Roman" w:eastAsia="仿宋_GB2312" w:cs="Times New Roman"/>
              <w:color w:val="000000" w:themeColor="text1"/>
              <w:sz w:val="32"/>
              <w:szCs w:val="32"/>
            </w:rPr>
            <w:tab/>
          </w:r>
          <w:r>
            <w:rPr>
              <w:rFonts w:ascii="Times New Roman" w:hAnsi="Times New Roman" w:eastAsia="仿宋_GB2312" w:cs="Times New Roman"/>
              <w:color w:val="000000" w:themeColor="text1"/>
              <w:sz w:val="32"/>
              <w:szCs w:val="32"/>
            </w:rPr>
            <w:fldChar w:fldCharType="begin"/>
          </w:r>
          <w:r>
            <w:rPr>
              <w:rFonts w:ascii="Times New Roman" w:hAnsi="Times New Roman" w:eastAsia="仿宋_GB2312" w:cs="Times New Roman"/>
              <w:color w:val="000000" w:themeColor="text1"/>
              <w:sz w:val="32"/>
              <w:szCs w:val="32"/>
            </w:rPr>
            <w:instrText xml:space="preserve"> PAGEREF _Toc27615 \h </w:instrText>
          </w:r>
          <w:r>
            <w:rPr>
              <w:rFonts w:ascii="Times New Roman" w:hAnsi="Times New Roman" w:eastAsia="仿宋_GB2312" w:cs="Times New Roman"/>
              <w:color w:val="000000" w:themeColor="text1"/>
              <w:sz w:val="32"/>
              <w:szCs w:val="32"/>
            </w:rPr>
            <w:fldChar w:fldCharType="separate"/>
          </w:r>
          <w:r>
            <w:rPr>
              <w:rFonts w:ascii="Times New Roman" w:hAnsi="Times New Roman" w:eastAsia="仿宋_GB2312" w:cs="Times New Roman"/>
              <w:color w:val="000000" w:themeColor="text1"/>
              <w:sz w:val="32"/>
              <w:szCs w:val="32"/>
            </w:rPr>
            <w:t>- 6 -</w:t>
          </w:r>
          <w:r>
            <w:rPr>
              <w:rFonts w:ascii="Times New Roman" w:hAnsi="Times New Roman" w:eastAsia="仿宋_GB2312" w:cs="Times New Roman"/>
              <w:color w:val="000000" w:themeColor="text1"/>
              <w:sz w:val="32"/>
              <w:szCs w:val="32"/>
            </w:rPr>
            <w:fldChar w:fldCharType="end"/>
          </w:r>
          <w:r>
            <w:rPr>
              <w:rFonts w:ascii="Times New Roman" w:hAnsi="Times New Roman" w:eastAsia="仿宋_GB2312" w:cs="Times New Roman"/>
              <w:color w:val="000000" w:themeColor="text1"/>
              <w:sz w:val="32"/>
              <w:szCs w:val="32"/>
            </w:rPr>
            <w:fldChar w:fldCharType="end"/>
          </w:r>
        </w:p>
        <w:p>
          <w:pPr>
            <w:pStyle w:val="12"/>
            <w:tabs>
              <w:tab w:val="right" w:leader="dot" w:pos="8732"/>
            </w:tabs>
            <w:spacing w:line="560" w:lineRule="exact"/>
            <w:ind w:firstLine="640"/>
            <w:rPr>
              <w:rFonts w:cs="Times New Roman"/>
              <w:color w:val="000000" w:themeColor="text1"/>
              <w:szCs w:val="32"/>
            </w:rPr>
          </w:pPr>
          <w:r>
            <w:fldChar w:fldCharType="begin"/>
          </w:r>
          <w:r>
            <w:instrText xml:space="preserve"> HYPERLINK \l "_Toc23354" </w:instrText>
          </w:r>
          <w:r>
            <w:fldChar w:fldCharType="separate"/>
          </w:r>
          <w:r>
            <w:rPr>
              <w:rFonts w:cs="Times New Roman"/>
              <w:b/>
              <w:bCs/>
              <w:color w:val="000000" w:themeColor="text1"/>
              <w:szCs w:val="32"/>
            </w:rPr>
            <w:t>二、绩效自评情况</w:t>
          </w:r>
          <w:r>
            <w:rPr>
              <w:rFonts w:cs="Times New Roman"/>
              <w:b/>
              <w:bCs/>
              <w:color w:val="000000" w:themeColor="text1"/>
              <w:szCs w:val="32"/>
            </w:rPr>
            <w:tab/>
          </w:r>
          <w:r>
            <w:rPr>
              <w:rFonts w:cs="Times New Roman"/>
              <w:b/>
              <w:bCs/>
              <w:color w:val="000000" w:themeColor="text1"/>
              <w:szCs w:val="32"/>
            </w:rPr>
            <w:fldChar w:fldCharType="begin"/>
          </w:r>
          <w:r>
            <w:rPr>
              <w:rFonts w:cs="Times New Roman"/>
              <w:b/>
              <w:bCs/>
              <w:color w:val="000000" w:themeColor="text1"/>
              <w:szCs w:val="32"/>
            </w:rPr>
            <w:instrText xml:space="preserve"> PAGEREF _Toc23354 \h </w:instrText>
          </w:r>
          <w:r>
            <w:rPr>
              <w:rFonts w:cs="Times New Roman"/>
              <w:b/>
              <w:bCs/>
              <w:color w:val="000000" w:themeColor="text1"/>
              <w:szCs w:val="32"/>
            </w:rPr>
            <w:fldChar w:fldCharType="separate"/>
          </w:r>
          <w:r>
            <w:rPr>
              <w:rFonts w:cs="Times New Roman"/>
              <w:b/>
              <w:bCs/>
              <w:color w:val="000000" w:themeColor="text1"/>
              <w:szCs w:val="32"/>
            </w:rPr>
            <w:t>- 8 -</w:t>
          </w:r>
          <w:r>
            <w:rPr>
              <w:rFonts w:cs="Times New Roman"/>
              <w:b/>
              <w:bCs/>
              <w:color w:val="000000" w:themeColor="text1"/>
              <w:szCs w:val="32"/>
            </w:rPr>
            <w:fldChar w:fldCharType="end"/>
          </w:r>
          <w:r>
            <w:rPr>
              <w:rFonts w:cs="Times New Roman"/>
              <w:b/>
              <w:bCs/>
              <w:color w:val="000000" w:themeColor="text1"/>
              <w:szCs w:val="32"/>
            </w:rPr>
            <w:fldChar w:fldCharType="end"/>
          </w:r>
        </w:p>
        <w:p>
          <w:pPr>
            <w:pStyle w:val="14"/>
            <w:tabs>
              <w:tab w:val="right" w:leader="dot" w:pos="8732"/>
            </w:tabs>
            <w:spacing w:line="560" w:lineRule="exact"/>
            <w:ind w:firstLine="440"/>
            <w:rPr>
              <w:rFonts w:ascii="Times New Roman" w:hAnsi="Times New Roman" w:eastAsia="仿宋_GB2312" w:cs="Times New Roman"/>
              <w:color w:val="000000" w:themeColor="text1"/>
              <w:sz w:val="32"/>
              <w:szCs w:val="32"/>
            </w:rPr>
          </w:pPr>
          <w:r>
            <w:fldChar w:fldCharType="begin"/>
          </w:r>
          <w:r>
            <w:instrText xml:space="preserve"> HYPERLINK \l "_Toc25013" </w:instrText>
          </w:r>
          <w:r>
            <w:fldChar w:fldCharType="separate"/>
          </w:r>
          <w:r>
            <w:rPr>
              <w:rFonts w:ascii="Times New Roman" w:hAnsi="Times New Roman" w:eastAsia="仿宋_GB2312" w:cs="Times New Roman"/>
              <w:color w:val="000000" w:themeColor="text1"/>
              <w:sz w:val="32"/>
              <w:szCs w:val="32"/>
            </w:rPr>
            <w:t>（一）自评结论</w:t>
          </w:r>
          <w:r>
            <w:rPr>
              <w:rFonts w:ascii="Times New Roman" w:hAnsi="Times New Roman" w:eastAsia="仿宋_GB2312" w:cs="Times New Roman"/>
              <w:color w:val="000000" w:themeColor="text1"/>
              <w:sz w:val="32"/>
              <w:szCs w:val="32"/>
            </w:rPr>
            <w:tab/>
          </w:r>
          <w:r>
            <w:rPr>
              <w:rFonts w:ascii="Times New Roman" w:hAnsi="Times New Roman" w:eastAsia="仿宋_GB2312" w:cs="Times New Roman"/>
              <w:color w:val="000000" w:themeColor="text1"/>
              <w:sz w:val="32"/>
              <w:szCs w:val="32"/>
            </w:rPr>
            <w:fldChar w:fldCharType="begin"/>
          </w:r>
          <w:r>
            <w:rPr>
              <w:rFonts w:ascii="Times New Roman" w:hAnsi="Times New Roman" w:eastAsia="仿宋_GB2312" w:cs="Times New Roman"/>
              <w:color w:val="000000" w:themeColor="text1"/>
              <w:sz w:val="32"/>
              <w:szCs w:val="32"/>
            </w:rPr>
            <w:instrText xml:space="preserve"> PAGEREF _Toc25013 \h </w:instrText>
          </w:r>
          <w:r>
            <w:rPr>
              <w:rFonts w:ascii="Times New Roman" w:hAnsi="Times New Roman" w:eastAsia="仿宋_GB2312" w:cs="Times New Roman"/>
              <w:color w:val="000000" w:themeColor="text1"/>
              <w:sz w:val="32"/>
              <w:szCs w:val="32"/>
            </w:rPr>
            <w:fldChar w:fldCharType="separate"/>
          </w:r>
          <w:r>
            <w:rPr>
              <w:rFonts w:ascii="Times New Roman" w:hAnsi="Times New Roman" w:eastAsia="仿宋_GB2312" w:cs="Times New Roman"/>
              <w:color w:val="000000" w:themeColor="text1"/>
              <w:sz w:val="32"/>
              <w:szCs w:val="32"/>
            </w:rPr>
            <w:t>- 8 -</w:t>
          </w:r>
          <w:r>
            <w:rPr>
              <w:rFonts w:ascii="Times New Roman" w:hAnsi="Times New Roman" w:eastAsia="仿宋_GB2312" w:cs="Times New Roman"/>
              <w:color w:val="000000" w:themeColor="text1"/>
              <w:sz w:val="32"/>
              <w:szCs w:val="32"/>
            </w:rPr>
            <w:fldChar w:fldCharType="end"/>
          </w:r>
          <w:r>
            <w:rPr>
              <w:rFonts w:ascii="Times New Roman" w:hAnsi="Times New Roman" w:eastAsia="仿宋_GB2312" w:cs="Times New Roman"/>
              <w:color w:val="000000" w:themeColor="text1"/>
              <w:sz w:val="32"/>
              <w:szCs w:val="32"/>
            </w:rPr>
            <w:fldChar w:fldCharType="end"/>
          </w:r>
        </w:p>
        <w:p>
          <w:pPr>
            <w:pStyle w:val="14"/>
            <w:tabs>
              <w:tab w:val="right" w:leader="dot" w:pos="8732"/>
            </w:tabs>
            <w:spacing w:line="560" w:lineRule="exact"/>
            <w:ind w:firstLine="440"/>
            <w:rPr>
              <w:rFonts w:ascii="Times New Roman" w:hAnsi="Times New Roman" w:eastAsia="仿宋_GB2312" w:cs="Times New Roman"/>
              <w:color w:val="000000" w:themeColor="text1"/>
              <w:sz w:val="32"/>
              <w:szCs w:val="32"/>
            </w:rPr>
          </w:pPr>
          <w:r>
            <w:fldChar w:fldCharType="begin"/>
          </w:r>
          <w:r>
            <w:instrText xml:space="preserve"> HYPERLINK \l "_Toc65" </w:instrText>
          </w:r>
          <w:r>
            <w:fldChar w:fldCharType="separate"/>
          </w:r>
          <w:r>
            <w:rPr>
              <w:rFonts w:ascii="Times New Roman" w:hAnsi="Times New Roman" w:eastAsia="仿宋_GB2312" w:cs="Times New Roman"/>
              <w:color w:val="000000" w:themeColor="text1"/>
              <w:sz w:val="32"/>
              <w:szCs w:val="32"/>
            </w:rPr>
            <w:t>（二）履职效能分析</w:t>
          </w:r>
          <w:r>
            <w:rPr>
              <w:rFonts w:ascii="Times New Roman" w:hAnsi="Times New Roman" w:eastAsia="仿宋_GB2312" w:cs="Times New Roman"/>
              <w:color w:val="000000" w:themeColor="text1"/>
              <w:sz w:val="32"/>
              <w:szCs w:val="32"/>
            </w:rPr>
            <w:tab/>
          </w:r>
          <w:r>
            <w:rPr>
              <w:rFonts w:ascii="Times New Roman" w:hAnsi="Times New Roman" w:eastAsia="仿宋_GB2312" w:cs="Times New Roman"/>
              <w:color w:val="000000" w:themeColor="text1"/>
              <w:sz w:val="32"/>
              <w:szCs w:val="32"/>
            </w:rPr>
            <w:fldChar w:fldCharType="begin"/>
          </w:r>
          <w:r>
            <w:rPr>
              <w:rFonts w:ascii="Times New Roman" w:hAnsi="Times New Roman" w:eastAsia="仿宋_GB2312" w:cs="Times New Roman"/>
              <w:color w:val="000000" w:themeColor="text1"/>
              <w:sz w:val="32"/>
              <w:szCs w:val="32"/>
            </w:rPr>
            <w:instrText xml:space="preserve"> PAGEREF _Toc65 \h </w:instrText>
          </w:r>
          <w:r>
            <w:rPr>
              <w:rFonts w:ascii="Times New Roman" w:hAnsi="Times New Roman" w:eastAsia="仿宋_GB2312" w:cs="Times New Roman"/>
              <w:color w:val="000000" w:themeColor="text1"/>
              <w:sz w:val="32"/>
              <w:szCs w:val="32"/>
            </w:rPr>
            <w:fldChar w:fldCharType="separate"/>
          </w:r>
          <w:r>
            <w:rPr>
              <w:rFonts w:ascii="Times New Roman" w:hAnsi="Times New Roman" w:eastAsia="仿宋_GB2312" w:cs="Times New Roman"/>
              <w:color w:val="000000" w:themeColor="text1"/>
              <w:sz w:val="32"/>
              <w:szCs w:val="32"/>
            </w:rPr>
            <w:t>- 9 -</w:t>
          </w:r>
          <w:r>
            <w:rPr>
              <w:rFonts w:ascii="Times New Roman" w:hAnsi="Times New Roman" w:eastAsia="仿宋_GB2312" w:cs="Times New Roman"/>
              <w:color w:val="000000" w:themeColor="text1"/>
              <w:sz w:val="32"/>
              <w:szCs w:val="32"/>
            </w:rPr>
            <w:fldChar w:fldCharType="end"/>
          </w:r>
          <w:r>
            <w:rPr>
              <w:rFonts w:ascii="Times New Roman" w:hAnsi="Times New Roman" w:eastAsia="仿宋_GB2312" w:cs="Times New Roman"/>
              <w:color w:val="000000" w:themeColor="text1"/>
              <w:sz w:val="32"/>
              <w:szCs w:val="32"/>
            </w:rPr>
            <w:fldChar w:fldCharType="end"/>
          </w:r>
        </w:p>
        <w:p>
          <w:pPr>
            <w:pStyle w:val="14"/>
            <w:tabs>
              <w:tab w:val="right" w:leader="dot" w:pos="8732"/>
            </w:tabs>
            <w:spacing w:line="560" w:lineRule="exact"/>
            <w:ind w:firstLine="440"/>
            <w:rPr>
              <w:rFonts w:ascii="Times New Roman" w:hAnsi="Times New Roman" w:eastAsia="仿宋_GB2312" w:cs="Times New Roman"/>
              <w:color w:val="000000" w:themeColor="text1"/>
              <w:sz w:val="32"/>
              <w:szCs w:val="32"/>
            </w:rPr>
          </w:pPr>
          <w:r>
            <w:fldChar w:fldCharType="begin"/>
          </w:r>
          <w:r>
            <w:instrText xml:space="preserve"> HYPERLINK \l "_Toc5215" </w:instrText>
          </w:r>
          <w:r>
            <w:fldChar w:fldCharType="separate"/>
          </w:r>
          <w:r>
            <w:rPr>
              <w:rFonts w:ascii="Times New Roman" w:hAnsi="Times New Roman" w:eastAsia="仿宋_GB2312" w:cs="Times New Roman"/>
              <w:color w:val="000000" w:themeColor="text1"/>
              <w:sz w:val="32"/>
              <w:szCs w:val="32"/>
            </w:rPr>
            <w:t>（三）管理效率分析</w:t>
          </w:r>
          <w:r>
            <w:rPr>
              <w:rFonts w:ascii="Times New Roman" w:hAnsi="Times New Roman" w:eastAsia="仿宋_GB2312" w:cs="Times New Roman"/>
              <w:color w:val="000000" w:themeColor="text1"/>
              <w:sz w:val="32"/>
              <w:szCs w:val="32"/>
            </w:rPr>
            <w:tab/>
          </w:r>
          <w:r>
            <w:rPr>
              <w:rFonts w:ascii="Times New Roman" w:hAnsi="Times New Roman" w:eastAsia="仿宋_GB2312" w:cs="Times New Roman"/>
              <w:color w:val="000000" w:themeColor="text1"/>
              <w:sz w:val="32"/>
              <w:szCs w:val="32"/>
            </w:rPr>
            <w:fldChar w:fldCharType="begin"/>
          </w:r>
          <w:r>
            <w:rPr>
              <w:rFonts w:ascii="Times New Roman" w:hAnsi="Times New Roman" w:eastAsia="仿宋_GB2312" w:cs="Times New Roman"/>
              <w:color w:val="000000" w:themeColor="text1"/>
              <w:sz w:val="32"/>
              <w:szCs w:val="32"/>
            </w:rPr>
            <w:instrText xml:space="preserve"> PAGEREF _Toc5215 \h </w:instrText>
          </w:r>
          <w:r>
            <w:rPr>
              <w:rFonts w:ascii="Times New Roman" w:hAnsi="Times New Roman" w:eastAsia="仿宋_GB2312" w:cs="Times New Roman"/>
              <w:color w:val="000000" w:themeColor="text1"/>
              <w:sz w:val="32"/>
              <w:szCs w:val="32"/>
            </w:rPr>
            <w:fldChar w:fldCharType="separate"/>
          </w:r>
          <w:r>
            <w:rPr>
              <w:rFonts w:ascii="Times New Roman" w:hAnsi="Times New Roman" w:eastAsia="仿宋_GB2312" w:cs="Times New Roman"/>
              <w:color w:val="000000" w:themeColor="text1"/>
              <w:sz w:val="32"/>
              <w:szCs w:val="32"/>
            </w:rPr>
            <w:t>- 14 -</w:t>
          </w:r>
          <w:r>
            <w:rPr>
              <w:rFonts w:ascii="Times New Roman" w:hAnsi="Times New Roman" w:eastAsia="仿宋_GB2312" w:cs="Times New Roman"/>
              <w:color w:val="000000" w:themeColor="text1"/>
              <w:sz w:val="32"/>
              <w:szCs w:val="32"/>
            </w:rPr>
            <w:fldChar w:fldCharType="end"/>
          </w:r>
          <w:r>
            <w:rPr>
              <w:rFonts w:ascii="Times New Roman" w:hAnsi="Times New Roman" w:eastAsia="仿宋_GB2312" w:cs="Times New Roman"/>
              <w:color w:val="000000" w:themeColor="text1"/>
              <w:sz w:val="32"/>
              <w:szCs w:val="32"/>
            </w:rPr>
            <w:fldChar w:fldCharType="end"/>
          </w:r>
        </w:p>
        <w:p>
          <w:pPr>
            <w:pStyle w:val="14"/>
            <w:tabs>
              <w:tab w:val="right" w:leader="dot" w:pos="8732"/>
            </w:tabs>
            <w:spacing w:line="560" w:lineRule="exact"/>
            <w:ind w:firstLine="440"/>
            <w:rPr>
              <w:rFonts w:ascii="Times New Roman" w:hAnsi="Times New Roman" w:eastAsia="仿宋_GB2312" w:cs="Times New Roman"/>
              <w:color w:val="000000" w:themeColor="text1"/>
              <w:sz w:val="32"/>
              <w:szCs w:val="32"/>
            </w:rPr>
          </w:pPr>
          <w:r>
            <w:fldChar w:fldCharType="begin"/>
          </w:r>
          <w:r>
            <w:instrText xml:space="preserve"> HYPERLINK \l "_Toc5493" </w:instrText>
          </w:r>
          <w:r>
            <w:fldChar w:fldCharType="separate"/>
          </w:r>
          <w:r>
            <w:rPr>
              <w:rFonts w:ascii="Times New Roman" w:hAnsi="Times New Roman" w:eastAsia="仿宋_GB2312" w:cs="Times New Roman"/>
              <w:color w:val="000000" w:themeColor="text1"/>
              <w:sz w:val="32"/>
              <w:szCs w:val="32"/>
            </w:rPr>
            <w:t>（四）存在问题</w:t>
          </w:r>
          <w:r>
            <w:rPr>
              <w:rFonts w:hint="eastAsia" w:ascii="Times New Roman" w:hAnsi="Times New Roman" w:eastAsia="仿宋_GB2312" w:cs="Times New Roman"/>
              <w:color w:val="000000" w:themeColor="text1"/>
              <w:sz w:val="32"/>
              <w:szCs w:val="32"/>
            </w:rPr>
            <w:t>及</w:t>
          </w:r>
          <w:r>
            <w:rPr>
              <w:rFonts w:ascii="Times New Roman" w:hAnsi="Times New Roman" w:eastAsia="仿宋_GB2312" w:cs="Times New Roman"/>
              <w:color w:val="000000" w:themeColor="text1"/>
              <w:sz w:val="32"/>
              <w:szCs w:val="32"/>
            </w:rPr>
            <w:t>改进措施</w:t>
          </w:r>
          <w:r>
            <w:rPr>
              <w:rFonts w:ascii="Times New Roman" w:hAnsi="Times New Roman" w:eastAsia="仿宋_GB2312" w:cs="Times New Roman"/>
              <w:color w:val="000000" w:themeColor="text1"/>
              <w:sz w:val="32"/>
              <w:szCs w:val="32"/>
            </w:rPr>
            <w:tab/>
          </w:r>
          <w:r>
            <w:rPr>
              <w:rFonts w:ascii="Times New Roman" w:hAnsi="Times New Roman" w:eastAsia="仿宋_GB2312" w:cs="Times New Roman"/>
              <w:color w:val="000000" w:themeColor="text1"/>
              <w:sz w:val="32"/>
              <w:szCs w:val="32"/>
            </w:rPr>
            <w:fldChar w:fldCharType="begin"/>
          </w:r>
          <w:r>
            <w:rPr>
              <w:rFonts w:ascii="Times New Roman" w:hAnsi="Times New Roman" w:eastAsia="仿宋_GB2312" w:cs="Times New Roman"/>
              <w:color w:val="000000" w:themeColor="text1"/>
              <w:sz w:val="32"/>
              <w:szCs w:val="32"/>
            </w:rPr>
            <w:instrText xml:space="preserve"> PAGEREF _Toc5493 \h </w:instrText>
          </w:r>
          <w:r>
            <w:rPr>
              <w:rFonts w:ascii="Times New Roman" w:hAnsi="Times New Roman" w:eastAsia="仿宋_GB2312" w:cs="Times New Roman"/>
              <w:color w:val="000000" w:themeColor="text1"/>
              <w:sz w:val="32"/>
              <w:szCs w:val="32"/>
            </w:rPr>
            <w:fldChar w:fldCharType="separate"/>
          </w:r>
          <w:r>
            <w:rPr>
              <w:rFonts w:ascii="Times New Roman" w:hAnsi="Times New Roman" w:eastAsia="仿宋_GB2312" w:cs="Times New Roman"/>
              <w:color w:val="000000" w:themeColor="text1"/>
              <w:sz w:val="32"/>
              <w:szCs w:val="32"/>
            </w:rPr>
            <w:t>- 24 -</w:t>
          </w:r>
          <w:r>
            <w:rPr>
              <w:rFonts w:ascii="Times New Roman" w:hAnsi="Times New Roman" w:eastAsia="仿宋_GB2312" w:cs="Times New Roman"/>
              <w:color w:val="000000" w:themeColor="text1"/>
              <w:sz w:val="32"/>
              <w:szCs w:val="32"/>
            </w:rPr>
            <w:fldChar w:fldCharType="end"/>
          </w:r>
          <w:r>
            <w:rPr>
              <w:rFonts w:ascii="Times New Roman" w:hAnsi="Times New Roman" w:eastAsia="仿宋_GB2312" w:cs="Times New Roman"/>
              <w:color w:val="000000" w:themeColor="text1"/>
              <w:sz w:val="32"/>
              <w:szCs w:val="32"/>
            </w:rPr>
            <w:fldChar w:fldCharType="end"/>
          </w:r>
        </w:p>
        <w:p>
          <w:pPr>
            <w:pStyle w:val="12"/>
            <w:tabs>
              <w:tab w:val="right" w:leader="dot" w:pos="8732"/>
            </w:tabs>
            <w:spacing w:line="560" w:lineRule="exact"/>
            <w:ind w:firstLine="640"/>
            <w:rPr>
              <w:rFonts w:cs="Times New Roman"/>
              <w:b/>
              <w:bCs/>
              <w:color w:val="000000" w:themeColor="text1"/>
              <w:szCs w:val="32"/>
            </w:rPr>
          </w:pPr>
          <w:r>
            <w:fldChar w:fldCharType="begin"/>
          </w:r>
          <w:r>
            <w:instrText xml:space="preserve"> HYPERLINK \l "_Toc11274" </w:instrText>
          </w:r>
          <w:r>
            <w:fldChar w:fldCharType="separate"/>
          </w:r>
          <w:r>
            <w:rPr>
              <w:rFonts w:cs="Times New Roman"/>
              <w:b/>
              <w:bCs/>
              <w:color w:val="000000" w:themeColor="text1"/>
              <w:szCs w:val="32"/>
            </w:rPr>
            <w:t>三、主要绩效</w:t>
          </w:r>
          <w:r>
            <w:rPr>
              <w:rFonts w:cs="Times New Roman"/>
              <w:b/>
              <w:bCs/>
              <w:color w:val="000000" w:themeColor="text1"/>
              <w:szCs w:val="32"/>
            </w:rPr>
            <w:tab/>
          </w:r>
          <w:r>
            <w:rPr>
              <w:rFonts w:cs="Times New Roman"/>
              <w:b/>
              <w:bCs/>
              <w:color w:val="000000" w:themeColor="text1"/>
              <w:szCs w:val="32"/>
            </w:rPr>
            <w:fldChar w:fldCharType="begin"/>
          </w:r>
          <w:r>
            <w:rPr>
              <w:rFonts w:cs="Times New Roman"/>
              <w:b/>
              <w:bCs/>
              <w:color w:val="000000" w:themeColor="text1"/>
              <w:szCs w:val="32"/>
            </w:rPr>
            <w:instrText xml:space="preserve"> PAGEREF _Toc11274 \h </w:instrText>
          </w:r>
          <w:r>
            <w:rPr>
              <w:rFonts w:cs="Times New Roman"/>
              <w:b/>
              <w:bCs/>
              <w:color w:val="000000" w:themeColor="text1"/>
              <w:szCs w:val="32"/>
            </w:rPr>
            <w:fldChar w:fldCharType="separate"/>
          </w:r>
          <w:r>
            <w:rPr>
              <w:rFonts w:cs="Times New Roman"/>
              <w:b/>
              <w:bCs/>
              <w:color w:val="000000" w:themeColor="text1"/>
              <w:szCs w:val="32"/>
            </w:rPr>
            <w:t>- 24 -</w:t>
          </w:r>
          <w:r>
            <w:rPr>
              <w:rFonts w:cs="Times New Roman"/>
              <w:b/>
              <w:bCs/>
              <w:color w:val="000000" w:themeColor="text1"/>
              <w:szCs w:val="32"/>
            </w:rPr>
            <w:fldChar w:fldCharType="end"/>
          </w:r>
          <w:r>
            <w:rPr>
              <w:rFonts w:cs="Times New Roman"/>
              <w:b/>
              <w:bCs/>
              <w:color w:val="000000" w:themeColor="text1"/>
              <w:szCs w:val="32"/>
            </w:rPr>
            <w:fldChar w:fldCharType="end"/>
          </w:r>
        </w:p>
        <w:p>
          <w:pPr>
            <w:pStyle w:val="12"/>
            <w:tabs>
              <w:tab w:val="right" w:leader="dot" w:pos="8732"/>
            </w:tabs>
            <w:spacing w:line="560" w:lineRule="exact"/>
            <w:ind w:firstLine="640"/>
            <w:rPr>
              <w:rFonts w:cs="Times New Roman"/>
              <w:color w:val="000000" w:themeColor="text1"/>
            </w:rPr>
          </w:pPr>
          <w:r>
            <w:fldChar w:fldCharType="begin"/>
          </w:r>
          <w:r>
            <w:instrText xml:space="preserve"> HYPERLINK \l "_Toc5999" </w:instrText>
          </w:r>
          <w:r>
            <w:fldChar w:fldCharType="separate"/>
          </w:r>
          <w:r>
            <w:rPr>
              <w:rFonts w:hint="eastAsia" w:cs="Times New Roman"/>
              <w:b/>
              <w:bCs/>
              <w:color w:val="000000" w:themeColor="text1"/>
              <w:szCs w:val="32"/>
            </w:rPr>
            <w:t>四</w:t>
          </w:r>
          <w:r>
            <w:rPr>
              <w:rFonts w:cs="Times New Roman"/>
              <w:b/>
              <w:bCs/>
              <w:color w:val="000000" w:themeColor="text1"/>
              <w:szCs w:val="32"/>
            </w:rPr>
            <w:t>、上年度绩效自评整改情况</w:t>
          </w:r>
          <w:r>
            <w:rPr>
              <w:rFonts w:cs="Times New Roman"/>
              <w:b/>
              <w:bCs/>
              <w:color w:val="000000" w:themeColor="text1"/>
              <w:szCs w:val="32"/>
            </w:rPr>
            <w:tab/>
          </w:r>
          <w:r>
            <w:rPr>
              <w:rFonts w:cs="Times New Roman"/>
              <w:b/>
              <w:bCs/>
              <w:color w:val="000000" w:themeColor="text1"/>
              <w:szCs w:val="32"/>
            </w:rPr>
            <w:fldChar w:fldCharType="begin"/>
          </w:r>
          <w:r>
            <w:rPr>
              <w:rFonts w:cs="Times New Roman"/>
              <w:b/>
              <w:bCs/>
              <w:color w:val="000000" w:themeColor="text1"/>
              <w:szCs w:val="32"/>
            </w:rPr>
            <w:instrText xml:space="preserve"> PAGEREF _Toc5999 \h </w:instrText>
          </w:r>
          <w:r>
            <w:rPr>
              <w:rFonts w:cs="Times New Roman"/>
              <w:b/>
              <w:bCs/>
              <w:color w:val="000000" w:themeColor="text1"/>
              <w:szCs w:val="32"/>
            </w:rPr>
            <w:fldChar w:fldCharType="separate"/>
          </w:r>
          <w:r>
            <w:rPr>
              <w:rFonts w:cs="Times New Roman"/>
              <w:b/>
              <w:bCs/>
              <w:color w:val="000000" w:themeColor="text1"/>
              <w:szCs w:val="32"/>
            </w:rPr>
            <w:t>- 31 -</w:t>
          </w:r>
          <w:r>
            <w:rPr>
              <w:rFonts w:cs="Times New Roman"/>
              <w:b/>
              <w:bCs/>
              <w:color w:val="000000" w:themeColor="text1"/>
              <w:szCs w:val="32"/>
            </w:rPr>
            <w:fldChar w:fldCharType="end"/>
          </w:r>
          <w:r>
            <w:rPr>
              <w:rFonts w:cs="Times New Roman"/>
              <w:b/>
              <w:bCs/>
              <w:color w:val="000000" w:themeColor="text1"/>
              <w:szCs w:val="32"/>
            </w:rPr>
            <w:fldChar w:fldCharType="end"/>
          </w:r>
        </w:p>
        <w:p>
          <w:pPr>
            <w:pStyle w:val="14"/>
            <w:ind w:firstLine="440"/>
            <w:rPr>
              <w:rFonts w:ascii="Times New Roman" w:hAnsi="Times New Roman" w:eastAsia="仿宋_GB2312" w:cs="Times New Roman"/>
              <w:color w:val="000000" w:themeColor="text1"/>
            </w:rPr>
            <w:sectPr>
              <w:pgSz w:w="11906" w:h="16838"/>
              <w:pgMar w:top="1440" w:right="1587" w:bottom="1440" w:left="1587" w:header="851" w:footer="992" w:gutter="0"/>
              <w:cols w:space="425" w:num="1"/>
              <w:docGrid w:type="lines" w:linePitch="312" w:charSpace="0"/>
            </w:sectPr>
          </w:pPr>
          <w:r>
            <w:rPr>
              <w:rFonts w:ascii="Times New Roman" w:hAnsi="Times New Roman" w:eastAsia="仿宋_GB2312" w:cs="Times New Roman"/>
              <w:color w:val="000000" w:themeColor="text1"/>
            </w:rPr>
            <w:fldChar w:fldCharType="end"/>
          </w:r>
        </w:p>
      </w:sdtContent>
    </w:sdt>
    <w:p>
      <w:pPr>
        <w:ind w:firstLine="800"/>
        <w:jc w:val="center"/>
        <w:rPr>
          <w:rFonts w:eastAsia="方正小标宋简体" w:cs="方正小标宋简体"/>
          <w:color w:val="000000" w:themeColor="text1"/>
          <w:sz w:val="40"/>
          <w:szCs w:val="48"/>
        </w:rPr>
      </w:pPr>
      <w:r>
        <w:rPr>
          <w:rFonts w:hint="eastAsia" w:eastAsia="方正小标宋简体" w:cs="方正小标宋简体"/>
          <w:color w:val="000000" w:themeColor="text1"/>
          <w:sz w:val="40"/>
          <w:szCs w:val="48"/>
        </w:rPr>
        <w:t>广东省人力资源和社会保障厅</w:t>
      </w:r>
    </w:p>
    <w:p>
      <w:pPr>
        <w:ind w:firstLine="800"/>
        <w:jc w:val="center"/>
        <w:rPr>
          <w:rFonts w:eastAsia="方正小标宋简体" w:cs="方正小标宋简体"/>
          <w:color w:val="000000" w:themeColor="text1"/>
          <w:sz w:val="40"/>
          <w:szCs w:val="48"/>
        </w:rPr>
      </w:pPr>
      <w:r>
        <w:rPr>
          <w:rFonts w:hint="eastAsia" w:eastAsia="方正小标宋简体" w:cs="方正小标宋简体"/>
          <w:color w:val="000000" w:themeColor="text1"/>
          <w:sz w:val="40"/>
          <w:szCs w:val="48"/>
        </w:rPr>
        <w:t>2022年部门整体支出绩效自评报告</w:t>
      </w:r>
    </w:p>
    <w:p>
      <w:pPr>
        <w:ind w:firstLine="800"/>
        <w:jc w:val="center"/>
        <w:rPr>
          <w:rFonts w:eastAsia="方正小标宋简体" w:cs="方正小标宋简体"/>
          <w:color w:val="000000" w:themeColor="text1"/>
          <w:sz w:val="40"/>
          <w:szCs w:val="48"/>
        </w:rPr>
      </w:pPr>
    </w:p>
    <w:p>
      <w:pPr>
        <w:pStyle w:val="2"/>
        <w:numPr>
          <w:ilvl w:val="0"/>
          <w:numId w:val="1"/>
        </w:numPr>
        <w:ind w:firstLine="640"/>
        <w:rPr>
          <w:color w:val="000000" w:themeColor="text1"/>
        </w:rPr>
      </w:pPr>
      <w:bookmarkStart w:id="0" w:name="_Toc13174"/>
      <w:r>
        <w:rPr>
          <w:rFonts w:hint="eastAsia"/>
          <w:color w:val="000000" w:themeColor="text1"/>
        </w:rPr>
        <w:t>部门基本情况</w:t>
      </w:r>
      <w:bookmarkEnd w:id="0"/>
    </w:p>
    <w:p>
      <w:pPr>
        <w:pStyle w:val="3"/>
        <w:numPr>
          <w:ilvl w:val="0"/>
          <w:numId w:val="2"/>
        </w:numPr>
        <w:ind w:firstLine="643"/>
        <w:rPr>
          <w:b/>
          <w:bCs/>
          <w:color w:val="000000" w:themeColor="text1"/>
        </w:rPr>
      </w:pPr>
      <w:bookmarkStart w:id="1" w:name="_Toc2050"/>
      <w:r>
        <w:rPr>
          <w:rFonts w:hint="eastAsia"/>
          <w:b/>
          <w:bCs/>
          <w:color w:val="000000" w:themeColor="text1"/>
        </w:rPr>
        <w:t>部门职能</w:t>
      </w:r>
      <w:bookmarkEnd w:id="1"/>
      <w:r>
        <w:rPr>
          <w:rFonts w:hint="eastAsia"/>
          <w:b/>
          <w:bCs/>
          <w:color w:val="000000" w:themeColor="text1"/>
        </w:rPr>
        <w:t>。</w:t>
      </w:r>
    </w:p>
    <w:p>
      <w:pPr>
        <w:pStyle w:val="4"/>
        <w:ind w:firstLine="643"/>
        <w:rPr>
          <w:color w:val="000000" w:themeColor="text1"/>
        </w:rPr>
      </w:pPr>
      <w:bookmarkStart w:id="2" w:name="_Toc25498"/>
      <w:r>
        <w:rPr>
          <w:rFonts w:hint="eastAsia"/>
          <w:color w:val="000000" w:themeColor="text1"/>
        </w:rPr>
        <w:t>1.</w:t>
      </w:r>
      <w:r>
        <w:rPr>
          <w:color w:val="000000" w:themeColor="text1"/>
        </w:rPr>
        <w:t>主要职责。</w:t>
      </w:r>
      <w:bookmarkEnd w:id="2"/>
    </w:p>
    <w:p>
      <w:pPr>
        <w:ind w:firstLine="640"/>
        <w:rPr>
          <w:color w:val="000000" w:themeColor="text1"/>
        </w:rPr>
      </w:pPr>
      <w:r>
        <w:rPr>
          <w:rFonts w:hint="eastAsia"/>
          <w:color w:val="000000" w:themeColor="text1"/>
        </w:rPr>
        <w:t>根据《中共广东省委 广东省人民政府关于印发〈广东省人民政府机构改革方案〉的通知》（粤发〔2009〕8号），广东省人民政府（以下简称“省人民政府”）设立广东省人力资源和社会保障厅（以下简称“我厅”），主管人力资源和社会保障行政事务，是省人民政府组成部门。我厅</w:t>
      </w:r>
      <w:r>
        <w:rPr>
          <w:color w:val="000000" w:themeColor="text1"/>
        </w:rPr>
        <w:t>主要</w:t>
      </w:r>
      <w:r>
        <w:rPr>
          <w:rFonts w:hint="eastAsia"/>
          <w:color w:val="000000" w:themeColor="text1"/>
        </w:rPr>
        <w:t>有11</w:t>
      </w:r>
      <w:r>
        <w:rPr>
          <w:color w:val="000000" w:themeColor="text1"/>
        </w:rPr>
        <w:t>项部门职责，具体见表1-1。</w:t>
      </w:r>
    </w:p>
    <w:p>
      <w:pPr>
        <w:spacing w:line="360" w:lineRule="auto"/>
        <w:ind w:firstLine="560"/>
        <w:jc w:val="center"/>
        <w:rPr>
          <w:rFonts w:eastAsia="黑体" w:cs="黑体"/>
          <w:color w:val="000000" w:themeColor="text1"/>
          <w:sz w:val="28"/>
          <w:szCs w:val="36"/>
        </w:rPr>
      </w:pPr>
      <w:r>
        <w:rPr>
          <w:rFonts w:hint="eastAsia" w:eastAsia="黑体" w:cs="黑体"/>
          <w:color w:val="000000" w:themeColor="text1"/>
          <w:sz w:val="28"/>
          <w:szCs w:val="36"/>
        </w:rPr>
        <w:t>表1-1部门主要职责</w:t>
      </w:r>
    </w:p>
    <w:tbl>
      <w:tblPr>
        <w:tblStyle w:val="17"/>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8"/>
        <w:gridCol w:w="83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18" w:type="dxa"/>
            <w:vAlign w:val="center"/>
          </w:tcPr>
          <w:p>
            <w:pPr>
              <w:spacing w:line="360" w:lineRule="auto"/>
              <w:ind w:firstLine="0" w:firstLineChars="0"/>
              <w:jc w:val="center"/>
              <w:rPr>
                <w:rFonts w:cs="仿宋_GB2312"/>
                <w:color w:val="000000" w:themeColor="text1"/>
                <w:sz w:val="24"/>
                <w:szCs w:val="32"/>
              </w:rPr>
            </w:pPr>
            <w:r>
              <w:rPr>
                <w:rFonts w:hint="eastAsia" w:cs="仿宋_GB2312"/>
                <w:b/>
                <w:bCs/>
                <w:color w:val="000000" w:themeColor="text1"/>
                <w:sz w:val="24"/>
                <w:szCs w:val="32"/>
              </w:rPr>
              <w:t>序号</w:t>
            </w:r>
          </w:p>
        </w:tc>
        <w:tc>
          <w:tcPr>
            <w:tcW w:w="8363" w:type="dxa"/>
            <w:vAlign w:val="center"/>
          </w:tcPr>
          <w:p>
            <w:pPr>
              <w:spacing w:line="360" w:lineRule="auto"/>
              <w:ind w:firstLine="0" w:firstLineChars="0"/>
              <w:jc w:val="center"/>
              <w:rPr>
                <w:rFonts w:cs="仿宋_GB2312"/>
                <w:color w:val="000000" w:themeColor="text1"/>
                <w:sz w:val="24"/>
                <w:szCs w:val="32"/>
              </w:rPr>
            </w:pPr>
            <w:r>
              <w:rPr>
                <w:rFonts w:hint="eastAsia" w:cs="仿宋_GB2312"/>
                <w:b/>
                <w:bCs/>
                <w:color w:val="000000" w:themeColor="text1"/>
                <w:sz w:val="24"/>
                <w:szCs w:val="32"/>
              </w:rPr>
              <w:t>主要职责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7" w:hRule="atLeast"/>
        </w:trPr>
        <w:tc>
          <w:tcPr>
            <w:tcW w:w="718" w:type="dxa"/>
            <w:vAlign w:val="center"/>
          </w:tcPr>
          <w:p>
            <w:pPr>
              <w:spacing w:line="360" w:lineRule="auto"/>
              <w:ind w:firstLine="0" w:firstLineChars="0"/>
              <w:jc w:val="center"/>
              <w:rPr>
                <w:rFonts w:cs="Times New Roman"/>
                <w:color w:val="000000" w:themeColor="text1"/>
                <w:sz w:val="24"/>
              </w:rPr>
            </w:pPr>
            <w:r>
              <w:rPr>
                <w:rFonts w:cs="Times New Roman"/>
                <w:color w:val="000000" w:themeColor="text1"/>
                <w:sz w:val="24"/>
              </w:rPr>
              <w:t>1</w:t>
            </w:r>
          </w:p>
        </w:tc>
        <w:tc>
          <w:tcPr>
            <w:tcW w:w="8363" w:type="dxa"/>
            <w:vAlign w:val="center"/>
          </w:tcPr>
          <w:p>
            <w:pPr>
              <w:spacing w:line="280" w:lineRule="exact"/>
              <w:ind w:firstLine="0" w:firstLineChars="0"/>
              <w:rPr>
                <w:rFonts w:cs="Times New Roman"/>
                <w:color w:val="000000" w:themeColor="text1"/>
                <w:sz w:val="24"/>
              </w:rPr>
            </w:pPr>
            <w:r>
              <w:rPr>
                <w:rFonts w:hint="eastAsia" w:cs="Times New Roman"/>
                <w:color w:val="000000" w:themeColor="text1"/>
                <w:sz w:val="24"/>
              </w:rPr>
              <w:t>贯彻执行有关人力资源社会保障工作的方针政策和法律法规；研究起草有关地方性法规、规章草案，拟订本省人力资源社会保障事业发展规划和政策，并组织实施和监督检查。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trPr>
        <w:tc>
          <w:tcPr>
            <w:tcW w:w="718" w:type="dxa"/>
            <w:vAlign w:val="center"/>
          </w:tcPr>
          <w:p>
            <w:pPr>
              <w:spacing w:line="360" w:lineRule="auto"/>
              <w:ind w:firstLine="0" w:firstLineChars="0"/>
              <w:jc w:val="center"/>
              <w:rPr>
                <w:rFonts w:cs="Times New Roman"/>
                <w:color w:val="000000" w:themeColor="text1"/>
                <w:sz w:val="24"/>
              </w:rPr>
            </w:pPr>
            <w:r>
              <w:rPr>
                <w:rFonts w:cs="Times New Roman"/>
                <w:color w:val="000000" w:themeColor="text1"/>
                <w:sz w:val="24"/>
              </w:rPr>
              <w:t>2</w:t>
            </w:r>
          </w:p>
        </w:tc>
        <w:tc>
          <w:tcPr>
            <w:tcW w:w="8363" w:type="dxa"/>
            <w:vAlign w:val="center"/>
          </w:tcPr>
          <w:p>
            <w:pPr>
              <w:spacing w:line="320" w:lineRule="exact"/>
              <w:ind w:firstLine="0" w:firstLineChars="0"/>
              <w:rPr>
                <w:rFonts w:cs="Times New Roman"/>
                <w:color w:val="000000" w:themeColor="text1"/>
                <w:sz w:val="24"/>
              </w:rPr>
            </w:pPr>
            <w:r>
              <w:rPr>
                <w:rFonts w:hint="eastAsia" w:cs="Times New Roman"/>
                <w:color w:val="000000" w:themeColor="text1"/>
                <w:sz w:val="24"/>
              </w:rPr>
              <w:t>拟订人力资源市场发展规划和人力资源流动政策，建立统一规范的人力资源市场，促进人力资源合理流动、有效配置。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5" w:hRule="atLeast"/>
        </w:trPr>
        <w:tc>
          <w:tcPr>
            <w:tcW w:w="718" w:type="dxa"/>
            <w:vAlign w:val="center"/>
          </w:tcPr>
          <w:p>
            <w:pPr>
              <w:spacing w:line="360" w:lineRule="auto"/>
              <w:ind w:firstLine="0" w:firstLineChars="0"/>
              <w:jc w:val="center"/>
              <w:rPr>
                <w:rFonts w:cs="Times New Roman"/>
                <w:color w:val="000000" w:themeColor="text1"/>
                <w:sz w:val="24"/>
              </w:rPr>
            </w:pPr>
            <w:r>
              <w:rPr>
                <w:rFonts w:cs="Times New Roman"/>
                <w:color w:val="000000" w:themeColor="text1"/>
                <w:sz w:val="24"/>
              </w:rPr>
              <w:t>3</w:t>
            </w:r>
          </w:p>
        </w:tc>
        <w:tc>
          <w:tcPr>
            <w:tcW w:w="8363" w:type="dxa"/>
            <w:vAlign w:val="center"/>
          </w:tcPr>
          <w:p>
            <w:pPr>
              <w:widowControl/>
              <w:spacing w:line="320" w:lineRule="exact"/>
              <w:ind w:firstLine="0" w:firstLineChars="0"/>
              <w:rPr>
                <w:rFonts w:cs="Times New Roman"/>
                <w:color w:val="000000" w:themeColor="text1"/>
                <w:sz w:val="24"/>
              </w:rPr>
            </w:pPr>
            <w:r>
              <w:rPr>
                <w:rFonts w:hint="eastAsia" w:cs="Times New Roman"/>
                <w:color w:val="000000" w:themeColor="text1"/>
                <w:sz w:val="24"/>
              </w:rPr>
              <w:t>负责促进就业创业工作，拟订就业创业发展规划和政策，完善公共就业创业服务体系；牵头拟订高校毕业生就业政策，健全就业援助制度。建立面向全体劳动者的职业培训制度，完善技能类职业资格制度，负责技工院校管理；会同有关部门拟订高技能人才、农村实用人才培养和激励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4" w:hRule="atLeast"/>
        </w:trPr>
        <w:tc>
          <w:tcPr>
            <w:tcW w:w="718" w:type="dxa"/>
            <w:vAlign w:val="center"/>
          </w:tcPr>
          <w:p>
            <w:pPr>
              <w:spacing w:line="360" w:lineRule="auto"/>
              <w:ind w:firstLine="0" w:firstLineChars="0"/>
              <w:jc w:val="center"/>
              <w:rPr>
                <w:rFonts w:cs="Times New Roman"/>
                <w:color w:val="000000" w:themeColor="text1"/>
                <w:sz w:val="24"/>
              </w:rPr>
            </w:pPr>
            <w:r>
              <w:rPr>
                <w:rFonts w:cs="Times New Roman"/>
                <w:color w:val="000000" w:themeColor="text1"/>
                <w:sz w:val="24"/>
              </w:rPr>
              <w:t>4</w:t>
            </w:r>
          </w:p>
        </w:tc>
        <w:tc>
          <w:tcPr>
            <w:tcW w:w="8363" w:type="dxa"/>
            <w:vAlign w:val="center"/>
          </w:tcPr>
          <w:p>
            <w:pPr>
              <w:widowControl/>
              <w:spacing w:line="320" w:lineRule="exact"/>
              <w:ind w:firstLine="0" w:firstLineChars="0"/>
              <w:rPr>
                <w:rFonts w:cs="Times New Roman"/>
                <w:color w:val="000000" w:themeColor="text1"/>
                <w:sz w:val="24"/>
              </w:rPr>
            </w:pPr>
            <w:r>
              <w:rPr>
                <w:rFonts w:hint="eastAsia" w:cs="Times New Roman"/>
                <w:color w:val="000000" w:themeColor="text1"/>
                <w:sz w:val="24"/>
              </w:rPr>
              <w:t>会同有关部门拟订异地务工人员服务管理综合性政策和规划，推动相关政策的落实，协调解决重点难点问题，维护异地务工人员合法权益。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8" w:hRule="atLeast"/>
        </w:trPr>
        <w:tc>
          <w:tcPr>
            <w:tcW w:w="718" w:type="dxa"/>
            <w:vAlign w:val="center"/>
          </w:tcPr>
          <w:p>
            <w:pPr>
              <w:spacing w:line="360" w:lineRule="auto"/>
              <w:ind w:firstLine="0" w:firstLineChars="0"/>
              <w:jc w:val="center"/>
              <w:rPr>
                <w:rFonts w:cs="Times New Roman"/>
                <w:color w:val="000000" w:themeColor="text1"/>
                <w:sz w:val="24"/>
              </w:rPr>
            </w:pPr>
            <w:r>
              <w:rPr>
                <w:rFonts w:cs="Times New Roman"/>
                <w:color w:val="000000" w:themeColor="text1"/>
                <w:sz w:val="24"/>
              </w:rPr>
              <w:t>5</w:t>
            </w:r>
          </w:p>
        </w:tc>
        <w:tc>
          <w:tcPr>
            <w:tcW w:w="8363" w:type="dxa"/>
            <w:vAlign w:val="center"/>
          </w:tcPr>
          <w:p>
            <w:pPr>
              <w:widowControl/>
              <w:spacing w:line="320" w:lineRule="exact"/>
              <w:ind w:firstLine="0" w:firstLineChars="0"/>
              <w:rPr>
                <w:rFonts w:cs="Times New Roman"/>
                <w:color w:val="000000" w:themeColor="text1"/>
                <w:sz w:val="24"/>
              </w:rPr>
            </w:pPr>
            <w:r>
              <w:rPr>
                <w:rFonts w:hint="eastAsia" w:cs="Times New Roman"/>
                <w:color w:val="000000" w:themeColor="text1"/>
                <w:sz w:val="24"/>
              </w:rPr>
              <w:t>会同有关部门拟订事业单位人员工资收入分配政策，建立事业单位人员工资正常增长和支付保障机制，拟订事业单位人员福利和离退休政策；拟订企业职工工资收入的宏观调控政策，完善最低工资制度和工资支付保障机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3" w:hRule="atLeast"/>
        </w:trPr>
        <w:tc>
          <w:tcPr>
            <w:tcW w:w="718" w:type="dxa"/>
            <w:vAlign w:val="center"/>
          </w:tcPr>
          <w:p>
            <w:pPr>
              <w:spacing w:line="360" w:lineRule="auto"/>
              <w:ind w:firstLine="0" w:firstLineChars="0"/>
              <w:jc w:val="center"/>
              <w:rPr>
                <w:rFonts w:cs="Times New Roman"/>
                <w:color w:val="000000" w:themeColor="text1"/>
                <w:sz w:val="24"/>
              </w:rPr>
            </w:pPr>
            <w:r>
              <w:rPr>
                <w:rFonts w:cs="Times New Roman"/>
                <w:color w:val="000000" w:themeColor="text1"/>
                <w:sz w:val="24"/>
              </w:rPr>
              <w:t>6</w:t>
            </w:r>
          </w:p>
        </w:tc>
        <w:tc>
          <w:tcPr>
            <w:tcW w:w="8363" w:type="dxa"/>
            <w:vAlign w:val="center"/>
          </w:tcPr>
          <w:p>
            <w:pPr>
              <w:widowControl/>
              <w:spacing w:line="320" w:lineRule="exact"/>
              <w:ind w:firstLine="0" w:firstLineChars="0"/>
              <w:rPr>
                <w:rFonts w:cs="Times New Roman"/>
                <w:color w:val="000000" w:themeColor="text1"/>
                <w:sz w:val="24"/>
              </w:rPr>
            </w:pPr>
            <w:r>
              <w:rPr>
                <w:rFonts w:hint="eastAsia" w:cs="Times New Roman"/>
                <w:color w:val="000000" w:themeColor="text1"/>
                <w:sz w:val="24"/>
              </w:rPr>
              <w:t>负责事业单位人事综合管理工作，会同有关部门指导事业单位人事制度改革，拟订事业单位人员管理政策；指导人才管理和开发工作，制定专业技术人员管理和继续教育政策，牵头推进深化专业技术人员评价和职称制度改革工作，健全博士后管理制度，负责高层次专业技术人才选拔和培养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trPr>
        <w:tc>
          <w:tcPr>
            <w:tcW w:w="718" w:type="dxa"/>
            <w:vAlign w:val="center"/>
          </w:tcPr>
          <w:p>
            <w:pPr>
              <w:spacing w:line="360" w:lineRule="auto"/>
              <w:ind w:firstLine="0" w:firstLineChars="0"/>
              <w:jc w:val="center"/>
              <w:rPr>
                <w:rFonts w:cs="Times New Roman"/>
                <w:color w:val="000000" w:themeColor="text1"/>
                <w:sz w:val="24"/>
              </w:rPr>
            </w:pPr>
            <w:r>
              <w:rPr>
                <w:rFonts w:cs="Times New Roman"/>
                <w:color w:val="000000" w:themeColor="text1"/>
                <w:sz w:val="24"/>
              </w:rPr>
              <w:t>7</w:t>
            </w:r>
          </w:p>
        </w:tc>
        <w:tc>
          <w:tcPr>
            <w:tcW w:w="8363" w:type="dxa"/>
            <w:vAlign w:val="center"/>
          </w:tcPr>
          <w:p>
            <w:pPr>
              <w:widowControl/>
              <w:spacing w:line="320" w:lineRule="exact"/>
              <w:ind w:firstLine="0" w:firstLineChars="0"/>
              <w:rPr>
                <w:rFonts w:cs="Times New Roman"/>
                <w:color w:val="000000" w:themeColor="text1"/>
                <w:sz w:val="24"/>
              </w:rPr>
            </w:pPr>
            <w:r>
              <w:rPr>
                <w:rFonts w:hint="eastAsia" w:cs="Times New Roman"/>
                <w:color w:val="000000" w:themeColor="text1"/>
                <w:sz w:val="24"/>
              </w:rPr>
              <w:t>拟订有关人员调配政策和特殊人员安置政策，会同有关部门拟订省奖励表彰制度。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3" w:hRule="atLeast"/>
        </w:trPr>
        <w:tc>
          <w:tcPr>
            <w:tcW w:w="718" w:type="dxa"/>
            <w:vAlign w:val="center"/>
          </w:tcPr>
          <w:p>
            <w:pPr>
              <w:spacing w:line="360" w:lineRule="auto"/>
              <w:ind w:firstLine="0" w:firstLineChars="0"/>
              <w:jc w:val="center"/>
              <w:rPr>
                <w:rFonts w:cs="Times New Roman"/>
                <w:color w:val="000000" w:themeColor="text1"/>
                <w:sz w:val="24"/>
              </w:rPr>
            </w:pPr>
            <w:r>
              <w:rPr>
                <w:rFonts w:cs="Times New Roman"/>
                <w:color w:val="000000" w:themeColor="text1"/>
                <w:sz w:val="24"/>
              </w:rPr>
              <w:t>8</w:t>
            </w:r>
          </w:p>
        </w:tc>
        <w:tc>
          <w:tcPr>
            <w:tcW w:w="8363" w:type="dxa"/>
            <w:vAlign w:val="center"/>
          </w:tcPr>
          <w:p>
            <w:pPr>
              <w:widowControl/>
              <w:spacing w:line="320" w:lineRule="exact"/>
              <w:ind w:firstLine="0" w:firstLineChars="0"/>
              <w:rPr>
                <w:rFonts w:cs="Times New Roman"/>
                <w:color w:val="000000" w:themeColor="text1"/>
                <w:sz w:val="24"/>
              </w:rPr>
            </w:pPr>
            <w:r>
              <w:rPr>
                <w:rFonts w:hint="eastAsia" w:cs="Times New Roman"/>
                <w:color w:val="000000" w:themeColor="text1"/>
                <w:sz w:val="24"/>
              </w:rPr>
              <w:t>统筹建立覆盖城乡的社会保障体系。拟订城乡社会保险及其补充保险政策和标准，组织拟订统一的社会保险关系转续办法和基础养老金统筹办法，拟订机关企事业单位基本养老保险政策并逐步提高统筹层次。会同有关部门拟订社会保险及其补充保险基金管理和监督制度，会同有关部门编制本省社会保险基金预决算草案，参与拟订本省社会保险基金投资政策。拟订机关企事业单位退休人员管理服务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718" w:type="dxa"/>
            <w:vAlign w:val="center"/>
          </w:tcPr>
          <w:p>
            <w:pPr>
              <w:spacing w:line="360" w:lineRule="auto"/>
              <w:ind w:firstLine="0" w:firstLineChars="0"/>
              <w:jc w:val="center"/>
              <w:rPr>
                <w:rFonts w:cs="Times New Roman"/>
                <w:color w:val="000000" w:themeColor="text1"/>
                <w:sz w:val="24"/>
              </w:rPr>
            </w:pPr>
            <w:r>
              <w:rPr>
                <w:rFonts w:cs="Times New Roman"/>
                <w:color w:val="000000" w:themeColor="text1"/>
                <w:sz w:val="24"/>
              </w:rPr>
              <w:t>9</w:t>
            </w:r>
          </w:p>
        </w:tc>
        <w:tc>
          <w:tcPr>
            <w:tcW w:w="8363" w:type="dxa"/>
            <w:vAlign w:val="center"/>
          </w:tcPr>
          <w:p>
            <w:pPr>
              <w:widowControl/>
              <w:spacing w:line="320" w:lineRule="exact"/>
              <w:ind w:firstLine="0" w:firstLineChars="0"/>
              <w:rPr>
                <w:rFonts w:cs="Times New Roman"/>
                <w:color w:val="000000" w:themeColor="text1"/>
                <w:sz w:val="24"/>
              </w:rPr>
            </w:pPr>
            <w:r>
              <w:rPr>
                <w:rFonts w:hint="eastAsia" w:cs="Times New Roman"/>
                <w:color w:val="000000" w:themeColor="text1"/>
                <w:sz w:val="24"/>
              </w:rPr>
              <w:t>拟订基本工伤保险、失业保险相关政策、标准和管理办法，负责就业、失业、社会保险基金预测预警和信息引导，拟订应对预案，实施预防、调节和控制，保持就业形势稳定和社会保险基金总体收支平衡。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3" w:hRule="atLeast"/>
        </w:trPr>
        <w:tc>
          <w:tcPr>
            <w:tcW w:w="718" w:type="dxa"/>
            <w:vAlign w:val="center"/>
          </w:tcPr>
          <w:p>
            <w:pPr>
              <w:spacing w:line="360" w:lineRule="auto"/>
              <w:ind w:firstLine="0" w:firstLineChars="0"/>
              <w:jc w:val="center"/>
              <w:rPr>
                <w:rFonts w:cs="Times New Roman"/>
                <w:color w:val="000000" w:themeColor="text1"/>
                <w:sz w:val="24"/>
              </w:rPr>
            </w:pPr>
            <w:r>
              <w:rPr>
                <w:rFonts w:cs="Times New Roman"/>
                <w:color w:val="000000" w:themeColor="text1"/>
                <w:sz w:val="24"/>
              </w:rPr>
              <w:t>10</w:t>
            </w:r>
          </w:p>
        </w:tc>
        <w:tc>
          <w:tcPr>
            <w:tcW w:w="8363" w:type="dxa"/>
            <w:vAlign w:val="center"/>
          </w:tcPr>
          <w:p>
            <w:pPr>
              <w:widowControl/>
              <w:spacing w:line="320" w:lineRule="exact"/>
              <w:ind w:firstLine="0" w:firstLineChars="0"/>
              <w:rPr>
                <w:rFonts w:cs="Times New Roman"/>
                <w:color w:val="000000" w:themeColor="text1"/>
                <w:kern w:val="0"/>
                <w:sz w:val="24"/>
              </w:rPr>
            </w:pPr>
            <w:r>
              <w:rPr>
                <w:rFonts w:hint="eastAsia" w:cs="Times New Roman"/>
                <w:color w:val="000000" w:themeColor="text1"/>
                <w:kern w:val="0"/>
                <w:sz w:val="24"/>
              </w:rPr>
              <w:t>拟订劳动人事争议调解仲裁制度和劳动关系协调政策，完善劳动关系协调机制，制定禁止非法使用童工政策和女工、未成年工的特殊劳动保护政策，组织实施劳动保障监察，协调劳动者维权工作，依法查处重大违法案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718" w:type="dxa"/>
            <w:vAlign w:val="center"/>
          </w:tcPr>
          <w:p>
            <w:pPr>
              <w:spacing w:line="360" w:lineRule="auto"/>
              <w:ind w:firstLine="0" w:firstLineChars="0"/>
              <w:jc w:val="center"/>
              <w:rPr>
                <w:rFonts w:cs="Times New Roman"/>
                <w:color w:val="000000" w:themeColor="text1"/>
                <w:sz w:val="24"/>
              </w:rPr>
            </w:pPr>
            <w:r>
              <w:rPr>
                <w:rFonts w:cs="Times New Roman"/>
                <w:color w:val="000000" w:themeColor="text1"/>
                <w:sz w:val="24"/>
              </w:rPr>
              <w:t>11</w:t>
            </w:r>
          </w:p>
        </w:tc>
        <w:tc>
          <w:tcPr>
            <w:tcW w:w="8363" w:type="dxa"/>
            <w:vAlign w:val="center"/>
          </w:tcPr>
          <w:p>
            <w:pPr>
              <w:widowControl/>
              <w:spacing w:line="320" w:lineRule="exact"/>
              <w:ind w:firstLine="0" w:firstLineChars="0"/>
              <w:rPr>
                <w:rFonts w:cs="Times New Roman"/>
                <w:color w:val="000000" w:themeColor="text1"/>
                <w:kern w:val="0"/>
                <w:sz w:val="24"/>
              </w:rPr>
            </w:pPr>
            <w:r>
              <w:rPr>
                <w:rFonts w:hint="eastAsia" w:cs="Times New Roman"/>
                <w:color w:val="000000" w:themeColor="text1"/>
                <w:kern w:val="0"/>
                <w:sz w:val="24"/>
              </w:rPr>
              <w:t>承办省人民政府及人力资源社会保障部交办的其他事项。</w:t>
            </w:r>
          </w:p>
        </w:tc>
      </w:tr>
    </w:tbl>
    <w:p>
      <w:pPr>
        <w:pStyle w:val="4"/>
        <w:spacing w:line="580" w:lineRule="exact"/>
        <w:ind w:firstLine="643"/>
        <w:rPr>
          <w:color w:val="000000" w:themeColor="text1"/>
        </w:rPr>
      </w:pPr>
      <w:bookmarkStart w:id="3" w:name="_Toc8266"/>
      <w:r>
        <w:rPr>
          <w:rFonts w:hint="eastAsia"/>
          <w:color w:val="000000" w:themeColor="text1"/>
        </w:rPr>
        <w:t>2.</w:t>
      </w:r>
      <w:r>
        <w:rPr>
          <w:color w:val="000000" w:themeColor="text1"/>
        </w:rPr>
        <w:t>机构设置情况</w:t>
      </w:r>
      <w:r>
        <w:rPr>
          <w:rFonts w:hint="eastAsia"/>
          <w:color w:val="000000" w:themeColor="text1"/>
        </w:rPr>
        <w:t>。</w:t>
      </w:r>
      <w:bookmarkEnd w:id="3"/>
    </w:p>
    <w:p>
      <w:pPr>
        <w:ind w:firstLine="640"/>
        <w:rPr>
          <w:color w:val="000000" w:themeColor="text1"/>
        </w:rPr>
      </w:pPr>
      <w:r>
        <w:rPr>
          <w:rFonts w:hint="eastAsia"/>
          <w:color w:val="000000" w:themeColor="text1"/>
        </w:rPr>
        <w:t>2022年全厅独立编制机构及独立核算机构20个，其中行政单位1个、参照公务员管理事业单位3个、财政补助事业单位15个、经费自理事业单位1个。</w:t>
      </w:r>
    </w:p>
    <w:p>
      <w:pPr>
        <w:pStyle w:val="4"/>
        <w:spacing w:line="580" w:lineRule="exact"/>
        <w:ind w:firstLine="643"/>
        <w:rPr>
          <w:color w:val="000000" w:themeColor="text1"/>
        </w:rPr>
      </w:pPr>
      <w:bookmarkStart w:id="4" w:name="_Toc10817"/>
      <w:r>
        <w:rPr>
          <w:rFonts w:hint="eastAsia"/>
          <w:color w:val="000000" w:themeColor="text1"/>
        </w:rPr>
        <w:t>3.部门人员编制构成。</w:t>
      </w:r>
      <w:bookmarkEnd w:id="4"/>
    </w:p>
    <w:p>
      <w:pPr>
        <w:ind w:firstLine="640"/>
        <w:rPr>
          <w:color w:val="000000" w:themeColor="text1"/>
        </w:rPr>
      </w:pPr>
      <w:r>
        <w:rPr>
          <w:rFonts w:hint="eastAsia"/>
          <w:color w:val="000000" w:themeColor="text1"/>
        </w:rPr>
        <w:t>2022年我厅编制共有6517名，其中行政编制221名，公益一类编制441名，公益二类编制5404名，暂不分类编制451名。截至2022年底，我厅年末实有人数共计6106人，其中在职人员5128人（包括行政人员214人、参照公务员法管理事业人员228人、非参公事业人员4686人）、离休人员11人、退休人员967人。</w:t>
      </w:r>
    </w:p>
    <w:p>
      <w:pPr>
        <w:pStyle w:val="3"/>
        <w:numPr>
          <w:ilvl w:val="0"/>
          <w:numId w:val="2"/>
        </w:numPr>
        <w:ind w:firstLine="643"/>
        <w:rPr>
          <w:b/>
          <w:bCs/>
          <w:color w:val="000000" w:themeColor="text1"/>
        </w:rPr>
      </w:pPr>
      <w:bookmarkStart w:id="5" w:name="_Toc252"/>
      <w:r>
        <w:rPr>
          <w:rFonts w:hint="eastAsia"/>
          <w:b/>
          <w:bCs/>
          <w:color w:val="000000" w:themeColor="text1"/>
        </w:rPr>
        <w:t>年度总体工作和重点工作任务</w:t>
      </w:r>
      <w:bookmarkEnd w:id="5"/>
      <w:r>
        <w:rPr>
          <w:rFonts w:hint="eastAsia"/>
          <w:b/>
          <w:bCs/>
          <w:color w:val="000000" w:themeColor="text1"/>
        </w:rPr>
        <w:t>。</w:t>
      </w:r>
    </w:p>
    <w:p>
      <w:pPr>
        <w:ind w:firstLine="640"/>
        <w:rPr>
          <w:color w:val="000000" w:themeColor="text1"/>
        </w:rPr>
      </w:pPr>
      <w:bookmarkStart w:id="6" w:name="_Toc16603"/>
      <w:r>
        <w:rPr>
          <w:rFonts w:hint="eastAsia"/>
          <w:color w:val="000000" w:themeColor="text1"/>
        </w:rPr>
        <w:t>2022年，我厅深入贯彻习近平新时代中国特色社会主义思想和习近平总书记对广东系列重要讲话、重要指示精神，坚决落实“疫情要防住、经济要稳住、发展要安全”的重要要求，深入学习贯彻党的二十大精神，全面落实省第十三次党代会、省委十三届二次全会工作部署，统筹疫情防控和人社事业高质量发展，统筹发展和安全。</w:t>
      </w:r>
      <w:bookmarkEnd w:id="6"/>
      <w:r>
        <w:rPr>
          <w:rFonts w:hint="eastAsia"/>
          <w:color w:val="000000" w:themeColor="text1"/>
        </w:rPr>
        <w:t>2022年我厅重点工作任务及其拟投入资金、预期达到的目标安排如下，具体见表1-2。</w:t>
      </w:r>
    </w:p>
    <w:p>
      <w:pPr>
        <w:spacing w:line="360" w:lineRule="auto"/>
        <w:ind w:firstLine="560"/>
        <w:jc w:val="center"/>
        <w:rPr>
          <w:rFonts w:eastAsia="黑体" w:cs="黑体"/>
          <w:color w:val="000000" w:themeColor="text1"/>
          <w:sz w:val="28"/>
          <w:szCs w:val="36"/>
        </w:rPr>
      </w:pPr>
      <w:r>
        <w:rPr>
          <w:rFonts w:hint="eastAsia" w:eastAsia="黑体" w:cs="黑体"/>
          <w:color w:val="000000" w:themeColor="text1"/>
          <w:sz w:val="28"/>
          <w:szCs w:val="36"/>
        </w:rPr>
        <w:t>表1-2部门重点工作任务表</w:t>
      </w:r>
    </w:p>
    <w:tbl>
      <w:tblPr>
        <w:tblStyle w:val="16"/>
        <w:tblW w:w="5000" w:type="pct"/>
        <w:tblInd w:w="96" w:type="dxa"/>
        <w:tblLayout w:type="fixed"/>
        <w:tblCellMar>
          <w:top w:w="0" w:type="dxa"/>
          <w:left w:w="108" w:type="dxa"/>
          <w:bottom w:w="0" w:type="dxa"/>
          <w:right w:w="108" w:type="dxa"/>
        </w:tblCellMar>
      </w:tblPr>
      <w:tblGrid>
        <w:gridCol w:w="579"/>
        <w:gridCol w:w="1068"/>
        <w:gridCol w:w="3228"/>
        <w:gridCol w:w="1344"/>
        <w:gridCol w:w="2729"/>
      </w:tblGrid>
      <w:tr>
        <w:tblPrEx>
          <w:tblCellMar>
            <w:top w:w="0" w:type="dxa"/>
            <w:left w:w="108" w:type="dxa"/>
            <w:bottom w:w="0" w:type="dxa"/>
            <w:right w:w="108" w:type="dxa"/>
          </w:tblCellMar>
        </w:tblPrEx>
        <w:trPr>
          <w:trHeight w:val="23" w:hRule="atLeast"/>
          <w:tblHeader/>
        </w:trPr>
        <w:tc>
          <w:tcPr>
            <w:tcW w:w="579" w:type="dxa"/>
            <w:tcBorders>
              <w:top w:val="single" w:color="auto" w:sz="4" w:space="0"/>
              <w:left w:val="single" w:color="auto" w:sz="4" w:space="0"/>
              <w:bottom w:val="nil"/>
              <w:right w:val="nil"/>
            </w:tcBorders>
            <w:shd w:val="clear" w:color="auto" w:fill="auto"/>
            <w:noWrap/>
            <w:vAlign w:val="center"/>
          </w:tcPr>
          <w:p>
            <w:pPr>
              <w:widowControl/>
              <w:spacing w:line="320" w:lineRule="exact"/>
              <w:ind w:firstLine="0" w:firstLineChars="0"/>
              <w:jc w:val="center"/>
              <w:textAlignment w:val="center"/>
              <w:rPr>
                <w:rFonts w:cs="仿宋_GB2312"/>
                <w:color w:val="000000" w:themeColor="text1"/>
                <w:sz w:val="24"/>
              </w:rPr>
            </w:pPr>
            <w:r>
              <w:rPr>
                <w:rFonts w:hint="eastAsia" w:cs="仿宋_GB2312"/>
                <w:color w:val="000000" w:themeColor="text1"/>
                <w:kern w:val="0"/>
                <w:sz w:val="24"/>
              </w:rPr>
              <w:t>序号</w:t>
            </w:r>
          </w:p>
        </w:tc>
        <w:tc>
          <w:tcPr>
            <w:tcW w:w="1068" w:type="dxa"/>
            <w:tcBorders>
              <w:top w:val="single" w:color="auto" w:sz="4" w:space="0"/>
              <w:left w:val="single" w:color="000000" w:sz="4" w:space="0"/>
              <w:bottom w:val="single" w:color="000000" w:sz="4" w:space="0"/>
              <w:right w:val="single" w:color="auto" w:sz="4" w:space="0"/>
            </w:tcBorders>
            <w:shd w:val="clear" w:color="auto" w:fill="auto"/>
            <w:vAlign w:val="center"/>
          </w:tcPr>
          <w:p>
            <w:pPr>
              <w:widowControl/>
              <w:spacing w:line="320" w:lineRule="exact"/>
              <w:ind w:firstLine="0" w:firstLineChars="0"/>
              <w:jc w:val="center"/>
              <w:textAlignment w:val="center"/>
              <w:rPr>
                <w:rFonts w:cs="仿宋_GB2312"/>
                <w:color w:val="000000" w:themeColor="text1"/>
                <w:sz w:val="24"/>
              </w:rPr>
            </w:pPr>
            <w:r>
              <w:rPr>
                <w:rFonts w:hint="eastAsia" w:cs="仿宋_GB2312"/>
                <w:color w:val="000000" w:themeColor="text1"/>
                <w:kern w:val="0"/>
                <w:sz w:val="24"/>
              </w:rPr>
              <w:t>名称</w:t>
            </w:r>
          </w:p>
        </w:tc>
        <w:tc>
          <w:tcPr>
            <w:tcW w:w="3228" w:type="dxa"/>
            <w:tcBorders>
              <w:top w:val="single" w:color="000000" w:sz="4" w:space="0"/>
              <w:left w:val="single" w:color="auto" w:sz="4" w:space="0"/>
              <w:bottom w:val="single" w:color="000000" w:sz="4" w:space="0"/>
              <w:right w:val="single" w:color="000000" w:sz="4" w:space="0"/>
            </w:tcBorders>
            <w:shd w:val="clear" w:color="auto" w:fill="auto"/>
            <w:vAlign w:val="center"/>
          </w:tcPr>
          <w:p>
            <w:pPr>
              <w:widowControl/>
              <w:spacing w:line="320" w:lineRule="exact"/>
              <w:ind w:firstLine="0" w:firstLineChars="0"/>
              <w:jc w:val="center"/>
              <w:textAlignment w:val="center"/>
              <w:rPr>
                <w:rFonts w:cs="仿宋_GB2312"/>
                <w:color w:val="000000" w:themeColor="text1"/>
                <w:sz w:val="24"/>
              </w:rPr>
            </w:pPr>
            <w:r>
              <w:rPr>
                <w:rFonts w:hint="eastAsia" w:cs="仿宋_GB2312"/>
                <w:color w:val="000000" w:themeColor="text1"/>
                <w:kern w:val="0"/>
                <w:sz w:val="24"/>
              </w:rPr>
              <w:t>主要实施内容</w:t>
            </w:r>
          </w:p>
        </w:tc>
        <w:tc>
          <w:tcPr>
            <w:tcW w:w="134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20" w:lineRule="exact"/>
              <w:ind w:firstLine="0" w:firstLineChars="0"/>
              <w:jc w:val="center"/>
              <w:textAlignment w:val="center"/>
              <w:rPr>
                <w:rFonts w:cs="仿宋_GB2312"/>
                <w:color w:val="000000" w:themeColor="text1"/>
                <w:sz w:val="24"/>
              </w:rPr>
            </w:pPr>
            <w:r>
              <w:rPr>
                <w:rFonts w:hint="eastAsia" w:cs="仿宋_GB2312"/>
                <w:color w:val="000000" w:themeColor="text1"/>
                <w:kern w:val="0"/>
                <w:sz w:val="24"/>
              </w:rPr>
              <w:t>拟投入的资金（万元）</w:t>
            </w:r>
          </w:p>
        </w:tc>
        <w:tc>
          <w:tcPr>
            <w:tcW w:w="27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20" w:lineRule="exact"/>
              <w:ind w:firstLine="0" w:firstLineChars="0"/>
              <w:jc w:val="center"/>
              <w:textAlignment w:val="center"/>
              <w:rPr>
                <w:rFonts w:cs="仿宋_GB2312"/>
                <w:color w:val="000000" w:themeColor="text1"/>
                <w:sz w:val="24"/>
              </w:rPr>
            </w:pPr>
            <w:r>
              <w:rPr>
                <w:rFonts w:hint="eastAsia" w:cs="仿宋_GB2312"/>
                <w:color w:val="000000" w:themeColor="text1"/>
                <w:kern w:val="0"/>
                <w:sz w:val="24"/>
              </w:rPr>
              <w:t>期望达到的目标（概述）</w:t>
            </w:r>
          </w:p>
        </w:tc>
      </w:tr>
      <w:tr>
        <w:tblPrEx>
          <w:tblCellMar>
            <w:top w:w="0" w:type="dxa"/>
            <w:left w:w="108" w:type="dxa"/>
            <w:bottom w:w="0" w:type="dxa"/>
            <w:right w:w="108" w:type="dxa"/>
          </w:tblCellMar>
        </w:tblPrEx>
        <w:trPr>
          <w:trHeight w:val="23" w:hRule="atLeast"/>
        </w:trPr>
        <w:tc>
          <w:tcPr>
            <w:tcW w:w="579" w:type="dxa"/>
            <w:tcBorders>
              <w:top w:val="nil"/>
              <w:left w:val="single" w:color="auto" w:sz="4" w:space="0"/>
              <w:bottom w:val="nil"/>
              <w:right w:val="nil"/>
            </w:tcBorders>
            <w:shd w:val="clear" w:color="auto" w:fill="auto"/>
            <w:noWrap/>
            <w:vAlign w:val="center"/>
          </w:tcPr>
          <w:p>
            <w:pPr>
              <w:widowControl/>
              <w:spacing w:line="320" w:lineRule="exact"/>
              <w:ind w:firstLine="0" w:firstLineChars="0"/>
              <w:jc w:val="center"/>
              <w:textAlignment w:val="center"/>
              <w:rPr>
                <w:rFonts w:hint="eastAsia" w:eastAsia="仿宋_GB2312" w:cs="仿宋_GB2312"/>
                <w:color w:val="000000" w:themeColor="text1"/>
                <w:sz w:val="24"/>
                <w:lang w:eastAsia="zh-CN"/>
              </w:rPr>
            </w:pPr>
            <w:r>
              <w:rPr>
                <w:rFonts w:hint="eastAsia" w:cs="仿宋_GB2312"/>
                <w:color w:val="000000" w:themeColor="text1"/>
                <w:kern w:val="0"/>
                <w:sz w:val="24"/>
                <w:lang w:val="en-US" w:eastAsia="zh-CN"/>
              </w:rPr>
              <w:t>1</w:t>
            </w:r>
          </w:p>
        </w:tc>
        <w:tc>
          <w:tcPr>
            <w:tcW w:w="1068" w:type="dxa"/>
            <w:tcBorders>
              <w:top w:val="single" w:color="000000" w:sz="4" w:space="0"/>
              <w:left w:val="single" w:color="000000" w:sz="4" w:space="0"/>
              <w:bottom w:val="single" w:color="000000" w:sz="4" w:space="0"/>
              <w:right w:val="single" w:color="auto" w:sz="4" w:space="0"/>
            </w:tcBorders>
            <w:shd w:val="clear" w:color="auto" w:fill="auto"/>
            <w:vAlign w:val="center"/>
          </w:tcPr>
          <w:p>
            <w:pPr>
              <w:widowControl/>
              <w:spacing w:line="320" w:lineRule="exact"/>
              <w:ind w:firstLine="0" w:firstLineChars="0"/>
              <w:jc w:val="center"/>
              <w:textAlignment w:val="center"/>
              <w:rPr>
                <w:rFonts w:cs="仿宋_GB2312"/>
                <w:color w:val="000000" w:themeColor="text1"/>
                <w:sz w:val="24"/>
              </w:rPr>
            </w:pPr>
            <w:r>
              <w:rPr>
                <w:rFonts w:hint="eastAsia" w:cs="仿宋_GB2312"/>
                <w:color w:val="000000" w:themeColor="text1"/>
                <w:kern w:val="0"/>
                <w:sz w:val="24"/>
              </w:rPr>
              <w:t>技工院校建设</w:t>
            </w:r>
          </w:p>
        </w:tc>
        <w:tc>
          <w:tcPr>
            <w:tcW w:w="3228" w:type="dxa"/>
            <w:tcBorders>
              <w:top w:val="single" w:color="000000" w:sz="4" w:space="0"/>
              <w:left w:val="single" w:color="auto" w:sz="4" w:space="0"/>
              <w:bottom w:val="single" w:color="000000" w:sz="4" w:space="0"/>
              <w:right w:val="single" w:color="000000" w:sz="4" w:space="0"/>
            </w:tcBorders>
            <w:shd w:val="clear" w:color="auto" w:fill="auto"/>
            <w:vAlign w:val="center"/>
          </w:tcPr>
          <w:p>
            <w:pPr>
              <w:widowControl/>
              <w:spacing w:line="320" w:lineRule="exact"/>
              <w:ind w:firstLine="0" w:firstLineChars="0"/>
              <w:jc w:val="left"/>
              <w:textAlignment w:val="center"/>
              <w:rPr>
                <w:rFonts w:cs="仿宋_GB2312"/>
                <w:color w:val="000000" w:themeColor="text1"/>
                <w:sz w:val="24"/>
              </w:rPr>
            </w:pPr>
            <w:r>
              <w:rPr>
                <w:rFonts w:hint="eastAsia" w:cs="仿宋_GB2312"/>
                <w:color w:val="000000" w:themeColor="text1"/>
                <w:kern w:val="0"/>
                <w:sz w:val="24"/>
              </w:rPr>
              <w:t>围绕省领导关于将技师学院纳入高职教育系列的部署要求，大力加大财政资金投入，用于支持技工院校加强基础能力建设和内涵发展，提升办学硬实力和软实力，促进提质强基；对全省技工院校师资开展专业技能提升和教育教学水平提升培训；保障包括世界技能大赛、国家级和省级技工院校技能竞赛的选拔、集训、宣传等项目实施；推动建设一批紧贴产业发展需求、校企深度融合、社会认可度高、就业质量好的国内领先的重点专业和特色专业，全面提升我省技工院校内涵建设，增强社会服务能力。支持广东省技工教育师资培训学院和培训基地承担全省技工院校师资培训任务、第三届全国技工院校教师职业能力大赛广东省选拔赛等工作。</w:t>
            </w:r>
          </w:p>
        </w:tc>
        <w:tc>
          <w:tcPr>
            <w:tcW w:w="134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20" w:lineRule="exact"/>
              <w:ind w:firstLine="0" w:firstLineChars="0"/>
              <w:jc w:val="center"/>
              <w:textAlignment w:val="center"/>
              <w:rPr>
                <w:rFonts w:cs="仿宋_GB2312"/>
                <w:color w:val="000000" w:themeColor="text1"/>
                <w:sz w:val="24"/>
              </w:rPr>
            </w:pPr>
            <w:r>
              <w:rPr>
                <w:rFonts w:hint="eastAsia" w:cs="仿宋_GB2312"/>
                <w:color w:val="000000" w:themeColor="text1"/>
                <w:kern w:val="0"/>
                <w:sz w:val="24"/>
              </w:rPr>
              <w:t>10,800</w:t>
            </w:r>
          </w:p>
        </w:tc>
        <w:tc>
          <w:tcPr>
            <w:tcW w:w="27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20" w:lineRule="exact"/>
              <w:ind w:firstLine="0" w:firstLineChars="0"/>
              <w:jc w:val="left"/>
              <w:textAlignment w:val="center"/>
              <w:rPr>
                <w:rFonts w:cs="仿宋_GB2312"/>
                <w:color w:val="000000" w:themeColor="text1"/>
                <w:sz w:val="24"/>
              </w:rPr>
            </w:pPr>
            <w:r>
              <w:rPr>
                <w:rFonts w:hint="eastAsia" w:cs="仿宋_GB2312"/>
                <w:color w:val="000000" w:themeColor="text1"/>
                <w:kern w:val="0"/>
                <w:sz w:val="24"/>
              </w:rPr>
              <w:t>扶持若干所技工院校加强基础建设，配套完善办学条件，使得全省招生规模总体稳定，全省技工院校保有招生学位数19万个以上；培训2500名以上技工院校骨干教师及中层管理人员，提高师资队伍建设水平;通过投入资金新建或修缮教学实训场所和配置设备设施，进一步改善教学实训条件，进一步配套完善学校办学条件，提升技能人才培养水平，引领带动全省技工院校高质量发展；扶持建设紧贴产业发展需求、校企深度融合、社会认可度高、就业质量好的国内领先的重点专业，以及面向与区域发展相关的传统优势产业及新兴产业的特色专业。</w:t>
            </w:r>
          </w:p>
        </w:tc>
      </w:tr>
      <w:tr>
        <w:tblPrEx>
          <w:tblCellMar>
            <w:top w:w="0" w:type="dxa"/>
            <w:left w:w="108" w:type="dxa"/>
            <w:bottom w:w="0" w:type="dxa"/>
            <w:right w:w="108" w:type="dxa"/>
          </w:tblCellMar>
        </w:tblPrEx>
        <w:trPr>
          <w:trHeight w:val="23" w:hRule="atLeast"/>
        </w:trPr>
        <w:tc>
          <w:tcPr>
            <w:tcW w:w="579" w:type="dxa"/>
            <w:tcBorders>
              <w:top w:val="nil"/>
              <w:left w:val="single" w:color="auto" w:sz="4" w:space="0"/>
              <w:bottom w:val="nil"/>
              <w:right w:val="nil"/>
            </w:tcBorders>
            <w:shd w:val="clear" w:color="auto" w:fill="auto"/>
            <w:noWrap/>
            <w:vAlign w:val="center"/>
          </w:tcPr>
          <w:p>
            <w:pPr>
              <w:widowControl/>
              <w:spacing w:line="320" w:lineRule="exact"/>
              <w:ind w:firstLine="0" w:firstLineChars="0"/>
              <w:jc w:val="center"/>
              <w:textAlignment w:val="center"/>
              <w:rPr>
                <w:rFonts w:hint="eastAsia" w:eastAsia="仿宋_GB2312" w:cs="仿宋_GB2312"/>
                <w:color w:val="000000" w:themeColor="text1"/>
                <w:sz w:val="24"/>
                <w:lang w:eastAsia="zh-CN"/>
              </w:rPr>
            </w:pPr>
            <w:r>
              <w:rPr>
                <w:rFonts w:hint="eastAsia" w:cs="仿宋_GB2312"/>
                <w:color w:val="000000" w:themeColor="text1"/>
                <w:kern w:val="0"/>
                <w:sz w:val="24"/>
                <w:lang w:val="en-US" w:eastAsia="zh-CN"/>
              </w:rPr>
              <w:t>2</w:t>
            </w:r>
          </w:p>
        </w:tc>
        <w:tc>
          <w:tcPr>
            <w:tcW w:w="1068" w:type="dxa"/>
            <w:tcBorders>
              <w:top w:val="single" w:color="000000" w:sz="4" w:space="0"/>
              <w:left w:val="single" w:color="000000" w:sz="4" w:space="0"/>
              <w:bottom w:val="single" w:color="000000" w:sz="4" w:space="0"/>
              <w:right w:val="single" w:color="auto" w:sz="4" w:space="0"/>
            </w:tcBorders>
            <w:shd w:val="clear" w:color="auto" w:fill="auto"/>
            <w:vAlign w:val="center"/>
          </w:tcPr>
          <w:p>
            <w:pPr>
              <w:widowControl/>
              <w:spacing w:line="320" w:lineRule="exact"/>
              <w:ind w:firstLine="0" w:firstLineChars="0"/>
              <w:jc w:val="left"/>
              <w:textAlignment w:val="center"/>
              <w:rPr>
                <w:rFonts w:cs="仿宋_GB2312"/>
                <w:color w:val="000000" w:themeColor="text1"/>
                <w:sz w:val="24"/>
              </w:rPr>
            </w:pPr>
            <w:r>
              <w:rPr>
                <w:rFonts w:hint="eastAsia" w:cs="仿宋_GB2312"/>
                <w:color w:val="000000" w:themeColor="text1"/>
                <w:kern w:val="0"/>
                <w:sz w:val="24"/>
              </w:rPr>
              <w:t>“三项工程”基地建设</w:t>
            </w:r>
          </w:p>
        </w:tc>
        <w:tc>
          <w:tcPr>
            <w:tcW w:w="3228" w:type="dxa"/>
            <w:tcBorders>
              <w:top w:val="single" w:color="000000" w:sz="4" w:space="0"/>
              <w:left w:val="single" w:color="auto" w:sz="4" w:space="0"/>
              <w:bottom w:val="single" w:color="000000" w:sz="4" w:space="0"/>
              <w:right w:val="single" w:color="000000" w:sz="4" w:space="0"/>
            </w:tcBorders>
            <w:shd w:val="clear" w:color="auto" w:fill="auto"/>
            <w:vAlign w:val="center"/>
          </w:tcPr>
          <w:p>
            <w:pPr>
              <w:widowControl/>
              <w:spacing w:line="320" w:lineRule="exact"/>
              <w:ind w:firstLine="0" w:firstLineChars="0"/>
              <w:jc w:val="left"/>
              <w:textAlignment w:val="center"/>
              <w:rPr>
                <w:rFonts w:cs="仿宋_GB2312"/>
                <w:color w:val="000000" w:themeColor="text1"/>
                <w:sz w:val="24"/>
              </w:rPr>
            </w:pPr>
            <w:r>
              <w:rPr>
                <w:rFonts w:hint="eastAsia" w:cs="仿宋_GB2312"/>
                <w:color w:val="000000" w:themeColor="text1"/>
                <w:kern w:val="0"/>
                <w:sz w:val="24"/>
              </w:rPr>
              <w:t>统筹用于“粤菜师傅”“广东技工”“南粤家政”三项工程技能培训及相关综合培训基地服务平台及相关宣传和专项业务。</w:t>
            </w:r>
          </w:p>
        </w:tc>
        <w:tc>
          <w:tcPr>
            <w:tcW w:w="134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20" w:lineRule="exact"/>
              <w:ind w:firstLine="0" w:firstLineChars="0"/>
              <w:jc w:val="center"/>
              <w:textAlignment w:val="center"/>
              <w:rPr>
                <w:rFonts w:cs="仿宋_GB2312"/>
                <w:color w:val="000000" w:themeColor="text1"/>
                <w:sz w:val="24"/>
              </w:rPr>
            </w:pPr>
            <w:r>
              <w:rPr>
                <w:rFonts w:hint="eastAsia" w:cs="仿宋_GB2312"/>
                <w:color w:val="000000" w:themeColor="text1"/>
                <w:kern w:val="0"/>
                <w:sz w:val="24"/>
              </w:rPr>
              <w:t>22,000</w:t>
            </w:r>
          </w:p>
        </w:tc>
        <w:tc>
          <w:tcPr>
            <w:tcW w:w="27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20" w:lineRule="exact"/>
              <w:ind w:firstLine="0" w:firstLineChars="0"/>
              <w:jc w:val="left"/>
              <w:textAlignment w:val="center"/>
              <w:rPr>
                <w:rFonts w:cs="仿宋_GB2312"/>
                <w:color w:val="000000" w:themeColor="text1"/>
                <w:sz w:val="24"/>
              </w:rPr>
            </w:pPr>
            <w:r>
              <w:rPr>
                <w:rFonts w:hint="eastAsia" w:cs="仿宋_GB2312"/>
                <w:color w:val="000000" w:themeColor="text1"/>
                <w:kern w:val="0"/>
                <w:sz w:val="24"/>
              </w:rPr>
              <w:t>2022年全省计划开展“粤菜师傅”培训3.8万人次，支持推进粤菜文化博览馆、星级名厨评选评定、粤港澳大湾区“粤菜师傅”技能大赛等相关项目建设，推动提升“粤菜师傅”工程建设水平；计划开展家政职业技能培训20万人次以上，建设扶持一批家政服务龙头企业，扶持一批“南粤家政”综合服务示范基地（含培训基地、产业园），扶持建设一批“南粤家政”基层服务站点，促进“南粤家政”工程高质量发展；建设扶持一批三项工程综合实训基地，为广东经济高质量发展提供强有力的人才支撑。</w:t>
            </w:r>
          </w:p>
        </w:tc>
      </w:tr>
      <w:tr>
        <w:tblPrEx>
          <w:tblCellMar>
            <w:top w:w="0" w:type="dxa"/>
            <w:left w:w="108" w:type="dxa"/>
            <w:bottom w:w="0" w:type="dxa"/>
            <w:right w:w="108" w:type="dxa"/>
          </w:tblCellMar>
        </w:tblPrEx>
        <w:trPr>
          <w:trHeight w:val="23" w:hRule="atLeast"/>
        </w:trPr>
        <w:tc>
          <w:tcPr>
            <w:tcW w:w="579" w:type="dxa"/>
            <w:tcBorders>
              <w:top w:val="nil"/>
              <w:left w:val="single" w:color="auto" w:sz="4" w:space="0"/>
              <w:bottom w:val="nil"/>
              <w:right w:val="nil"/>
            </w:tcBorders>
            <w:shd w:val="clear" w:color="auto" w:fill="auto"/>
            <w:noWrap/>
            <w:vAlign w:val="center"/>
          </w:tcPr>
          <w:p>
            <w:pPr>
              <w:widowControl/>
              <w:spacing w:line="320" w:lineRule="exact"/>
              <w:ind w:firstLine="0" w:firstLineChars="0"/>
              <w:jc w:val="center"/>
              <w:textAlignment w:val="center"/>
              <w:rPr>
                <w:rFonts w:hint="eastAsia" w:eastAsia="仿宋_GB2312" w:cs="仿宋_GB2312"/>
                <w:color w:val="000000" w:themeColor="text1"/>
                <w:sz w:val="24"/>
                <w:lang w:eastAsia="zh-CN"/>
              </w:rPr>
            </w:pPr>
            <w:r>
              <w:rPr>
                <w:rFonts w:hint="eastAsia" w:cs="仿宋_GB2312"/>
                <w:color w:val="000000" w:themeColor="text1"/>
                <w:kern w:val="0"/>
                <w:sz w:val="24"/>
                <w:lang w:val="en-US" w:eastAsia="zh-CN"/>
              </w:rPr>
              <w:t>3</w:t>
            </w:r>
          </w:p>
        </w:tc>
        <w:tc>
          <w:tcPr>
            <w:tcW w:w="1068" w:type="dxa"/>
            <w:tcBorders>
              <w:top w:val="single" w:color="000000" w:sz="4" w:space="0"/>
              <w:left w:val="single" w:color="000000" w:sz="4" w:space="0"/>
              <w:bottom w:val="single" w:color="000000" w:sz="4" w:space="0"/>
              <w:right w:val="single" w:color="auto" w:sz="4" w:space="0"/>
            </w:tcBorders>
            <w:shd w:val="clear" w:color="auto" w:fill="auto"/>
            <w:vAlign w:val="center"/>
          </w:tcPr>
          <w:p>
            <w:pPr>
              <w:widowControl/>
              <w:spacing w:line="320" w:lineRule="exact"/>
              <w:ind w:firstLine="0" w:firstLineChars="0"/>
              <w:jc w:val="center"/>
              <w:textAlignment w:val="center"/>
              <w:rPr>
                <w:rFonts w:cs="仿宋_GB2312"/>
                <w:color w:val="000000" w:themeColor="text1"/>
                <w:sz w:val="24"/>
              </w:rPr>
            </w:pPr>
            <w:r>
              <w:rPr>
                <w:rFonts w:hint="eastAsia" w:cs="仿宋_GB2312"/>
                <w:color w:val="000000" w:themeColor="text1"/>
                <w:kern w:val="0"/>
                <w:sz w:val="24"/>
              </w:rPr>
              <w:t>就业创业政策性补贴及服务补助</w:t>
            </w:r>
          </w:p>
        </w:tc>
        <w:tc>
          <w:tcPr>
            <w:tcW w:w="3228" w:type="dxa"/>
            <w:tcBorders>
              <w:top w:val="single" w:color="000000" w:sz="4" w:space="0"/>
              <w:left w:val="single" w:color="auto" w:sz="4" w:space="0"/>
              <w:bottom w:val="single" w:color="000000" w:sz="4" w:space="0"/>
              <w:right w:val="single" w:color="000000" w:sz="4" w:space="0"/>
            </w:tcBorders>
            <w:shd w:val="clear" w:color="auto" w:fill="auto"/>
            <w:vAlign w:val="center"/>
          </w:tcPr>
          <w:p>
            <w:pPr>
              <w:widowControl/>
              <w:spacing w:line="320" w:lineRule="exact"/>
              <w:ind w:firstLine="0" w:firstLineChars="0"/>
              <w:jc w:val="left"/>
              <w:textAlignment w:val="center"/>
              <w:rPr>
                <w:rFonts w:cs="仿宋_GB2312"/>
                <w:color w:val="000000" w:themeColor="text1"/>
                <w:sz w:val="24"/>
              </w:rPr>
            </w:pPr>
            <w:r>
              <w:rPr>
                <w:rFonts w:hint="eastAsia" w:cs="仿宋_GB2312"/>
                <w:color w:val="000000" w:themeColor="text1"/>
                <w:kern w:val="0"/>
                <w:sz w:val="24"/>
              </w:rPr>
              <w:t>用于各地发放就业创业政策性补贴（含技能培训培训补贴）；用于省级初创培训资助及创业相关活动组织实施、“众创英雄汇”、“技行天下”、保就业促民生专项服务补助、广东省毕业生就业及人才引进、事业单位公开招聘、公共就业服务及农村电商组织实施等项目；按规定对国家级高技能实训基地和大师工作室进行奖补。</w:t>
            </w:r>
          </w:p>
        </w:tc>
        <w:tc>
          <w:tcPr>
            <w:tcW w:w="134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20" w:lineRule="exact"/>
              <w:ind w:firstLine="0" w:firstLineChars="0"/>
              <w:jc w:val="center"/>
              <w:textAlignment w:val="center"/>
              <w:rPr>
                <w:rFonts w:cs="仿宋_GB2312"/>
                <w:color w:val="000000" w:themeColor="text1"/>
                <w:sz w:val="24"/>
              </w:rPr>
            </w:pPr>
            <w:r>
              <w:rPr>
                <w:rFonts w:hint="eastAsia" w:cs="仿宋_GB2312"/>
                <w:color w:val="000000" w:themeColor="text1"/>
                <w:kern w:val="0"/>
                <w:sz w:val="24"/>
              </w:rPr>
              <w:t>30,885</w:t>
            </w:r>
          </w:p>
        </w:tc>
        <w:tc>
          <w:tcPr>
            <w:tcW w:w="27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20" w:lineRule="exact"/>
              <w:ind w:firstLine="0" w:firstLineChars="0"/>
              <w:jc w:val="left"/>
              <w:textAlignment w:val="center"/>
              <w:rPr>
                <w:rFonts w:cs="仿宋_GB2312"/>
                <w:color w:val="000000" w:themeColor="text1"/>
                <w:sz w:val="24"/>
              </w:rPr>
            </w:pPr>
            <w:r>
              <w:rPr>
                <w:rFonts w:hint="eastAsia" w:cs="仿宋_GB2312"/>
                <w:color w:val="000000" w:themeColor="text1"/>
                <w:kern w:val="0"/>
                <w:sz w:val="24"/>
              </w:rPr>
              <w:t>贯彻落实国家和省稳就业工作部署，深入实施就业优先政策，确保完成年度</w:t>
            </w:r>
            <w:r>
              <w:rPr>
                <w:rFonts w:hint="eastAsia" w:cs="仿宋_GB2312"/>
                <w:color w:val="000000" w:themeColor="text1"/>
                <w:kern w:val="0"/>
                <w:sz w:val="24"/>
                <w:lang w:val="en-US" w:eastAsia="zh-CN"/>
              </w:rPr>
              <w:t>城镇</w:t>
            </w:r>
            <w:r>
              <w:rPr>
                <w:rFonts w:hint="eastAsia" w:cs="仿宋_GB2312"/>
                <w:color w:val="000000" w:themeColor="text1"/>
                <w:kern w:val="0"/>
                <w:sz w:val="24"/>
              </w:rPr>
              <w:t>新增就业目标任务，保持就业局势总体稳定。</w:t>
            </w:r>
          </w:p>
        </w:tc>
      </w:tr>
      <w:tr>
        <w:tblPrEx>
          <w:tblCellMar>
            <w:top w:w="0" w:type="dxa"/>
            <w:left w:w="108" w:type="dxa"/>
            <w:bottom w:w="0" w:type="dxa"/>
            <w:right w:w="108" w:type="dxa"/>
          </w:tblCellMar>
        </w:tblPrEx>
        <w:trPr>
          <w:trHeight w:val="23" w:hRule="atLeast"/>
        </w:trPr>
        <w:tc>
          <w:tcPr>
            <w:tcW w:w="579" w:type="dxa"/>
            <w:tcBorders>
              <w:top w:val="nil"/>
              <w:left w:val="single" w:color="auto" w:sz="4" w:space="0"/>
              <w:bottom w:val="single" w:color="auto" w:sz="4" w:space="0"/>
              <w:right w:val="nil"/>
            </w:tcBorders>
            <w:shd w:val="clear" w:color="auto" w:fill="auto"/>
            <w:noWrap/>
            <w:vAlign w:val="center"/>
          </w:tcPr>
          <w:p>
            <w:pPr>
              <w:widowControl/>
              <w:spacing w:line="320" w:lineRule="exact"/>
              <w:ind w:firstLine="0" w:firstLineChars="0"/>
              <w:jc w:val="center"/>
              <w:textAlignment w:val="center"/>
              <w:rPr>
                <w:rFonts w:hint="eastAsia" w:eastAsia="仿宋_GB2312" w:cs="仿宋_GB2312"/>
                <w:color w:val="000000" w:themeColor="text1"/>
                <w:sz w:val="24"/>
                <w:lang w:eastAsia="zh-CN"/>
              </w:rPr>
            </w:pPr>
            <w:r>
              <w:rPr>
                <w:rFonts w:hint="eastAsia" w:cs="仿宋_GB2312"/>
                <w:color w:val="000000" w:themeColor="text1"/>
                <w:kern w:val="0"/>
                <w:sz w:val="24"/>
                <w:lang w:val="en-US" w:eastAsia="zh-CN"/>
              </w:rPr>
              <w:t>4</w:t>
            </w:r>
          </w:p>
        </w:tc>
        <w:tc>
          <w:tcPr>
            <w:tcW w:w="1068" w:type="dxa"/>
            <w:tcBorders>
              <w:top w:val="single" w:color="000000" w:sz="4" w:space="0"/>
              <w:left w:val="single" w:color="000000" w:sz="4" w:space="0"/>
              <w:bottom w:val="single" w:color="auto" w:sz="4" w:space="0"/>
              <w:right w:val="single" w:color="auto" w:sz="4" w:space="0"/>
            </w:tcBorders>
            <w:shd w:val="clear" w:color="auto" w:fill="auto"/>
            <w:vAlign w:val="center"/>
          </w:tcPr>
          <w:p>
            <w:pPr>
              <w:widowControl/>
              <w:spacing w:line="320" w:lineRule="exact"/>
              <w:ind w:firstLine="0" w:firstLineChars="0"/>
              <w:jc w:val="center"/>
              <w:textAlignment w:val="center"/>
              <w:rPr>
                <w:rFonts w:cs="仿宋_GB2312"/>
                <w:color w:val="000000" w:themeColor="text1"/>
                <w:sz w:val="24"/>
              </w:rPr>
            </w:pPr>
            <w:r>
              <w:rPr>
                <w:rFonts w:hint="eastAsia" w:cs="仿宋_GB2312"/>
                <w:color w:val="000000" w:themeColor="text1"/>
                <w:kern w:val="0"/>
                <w:sz w:val="24"/>
              </w:rPr>
              <w:t>城乡居民养老保险</w:t>
            </w:r>
          </w:p>
        </w:tc>
        <w:tc>
          <w:tcPr>
            <w:tcW w:w="3228" w:type="dxa"/>
            <w:tcBorders>
              <w:top w:val="single" w:color="000000" w:sz="4" w:space="0"/>
              <w:left w:val="single" w:color="auto" w:sz="4" w:space="0"/>
              <w:bottom w:val="single" w:color="000000" w:sz="4" w:space="0"/>
              <w:right w:val="single" w:color="000000" w:sz="4" w:space="0"/>
            </w:tcBorders>
            <w:shd w:val="clear" w:color="auto" w:fill="auto"/>
            <w:vAlign w:val="center"/>
          </w:tcPr>
          <w:p>
            <w:pPr>
              <w:widowControl/>
              <w:spacing w:line="320" w:lineRule="exact"/>
              <w:ind w:firstLine="0" w:firstLineChars="0"/>
              <w:jc w:val="left"/>
              <w:textAlignment w:val="center"/>
              <w:rPr>
                <w:rFonts w:cs="仿宋_GB2312"/>
                <w:color w:val="000000" w:themeColor="text1"/>
                <w:sz w:val="24"/>
              </w:rPr>
            </w:pPr>
            <w:r>
              <w:rPr>
                <w:rFonts w:hint="eastAsia" w:cs="仿宋_GB2312"/>
                <w:color w:val="000000" w:themeColor="text1"/>
                <w:kern w:val="0"/>
                <w:sz w:val="24"/>
              </w:rPr>
              <w:t>发放符合养老待遇人员的基础养老金和参保缴费人员的政府缴费补贴。</w:t>
            </w:r>
          </w:p>
        </w:tc>
        <w:tc>
          <w:tcPr>
            <w:tcW w:w="134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20" w:lineRule="exact"/>
              <w:ind w:firstLine="0" w:firstLineChars="0"/>
              <w:jc w:val="center"/>
              <w:textAlignment w:val="center"/>
              <w:rPr>
                <w:rFonts w:cs="仿宋_GB2312"/>
                <w:color w:val="000000" w:themeColor="text1"/>
                <w:sz w:val="24"/>
              </w:rPr>
            </w:pPr>
            <w:r>
              <w:rPr>
                <w:rFonts w:hint="eastAsia" w:cs="仿宋_GB2312"/>
                <w:color w:val="000000" w:themeColor="text1"/>
                <w:kern w:val="0"/>
                <w:sz w:val="24"/>
              </w:rPr>
              <w:t>1,100,000</w:t>
            </w:r>
          </w:p>
        </w:tc>
        <w:tc>
          <w:tcPr>
            <w:tcW w:w="27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20" w:lineRule="exact"/>
              <w:ind w:firstLine="0" w:firstLineChars="0"/>
              <w:jc w:val="left"/>
              <w:textAlignment w:val="center"/>
              <w:rPr>
                <w:rFonts w:cs="仿宋_GB2312"/>
                <w:color w:val="000000" w:themeColor="text1"/>
                <w:sz w:val="24"/>
              </w:rPr>
            </w:pPr>
            <w:r>
              <w:rPr>
                <w:rFonts w:hint="eastAsia" w:cs="仿宋_GB2312"/>
                <w:color w:val="000000" w:themeColor="text1"/>
                <w:kern w:val="0"/>
                <w:sz w:val="24"/>
              </w:rPr>
              <w:t>城乡居民基本养老保险参保人数达到计划指标。城乡居民养老金应发尽发，缴费补贴应补尽补。</w:t>
            </w:r>
          </w:p>
        </w:tc>
      </w:tr>
    </w:tbl>
    <w:p>
      <w:pPr>
        <w:pStyle w:val="3"/>
        <w:numPr>
          <w:ilvl w:val="0"/>
          <w:numId w:val="2"/>
        </w:numPr>
        <w:ind w:firstLine="643"/>
        <w:rPr>
          <w:b/>
          <w:bCs/>
          <w:color w:val="000000" w:themeColor="text1"/>
        </w:rPr>
      </w:pPr>
      <w:bookmarkStart w:id="7" w:name="_Toc11151"/>
      <w:r>
        <w:rPr>
          <w:rFonts w:hint="eastAsia"/>
          <w:b/>
          <w:bCs/>
          <w:color w:val="000000" w:themeColor="text1"/>
        </w:rPr>
        <w:t>部门整体支出绩效目标</w:t>
      </w:r>
      <w:bookmarkEnd w:id="7"/>
      <w:r>
        <w:rPr>
          <w:rFonts w:hint="eastAsia"/>
          <w:b/>
          <w:bCs/>
          <w:color w:val="000000" w:themeColor="text1"/>
        </w:rPr>
        <w:t>。</w:t>
      </w:r>
    </w:p>
    <w:p>
      <w:pPr>
        <w:widowControl/>
        <w:ind w:firstLine="640"/>
        <w:jc w:val="left"/>
        <w:rPr>
          <w:color w:val="000000" w:themeColor="text1"/>
        </w:rPr>
      </w:pPr>
      <w:r>
        <w:rPr>
          <w:color w:val="000000" w:themeColor="text1"/>
        </w:rPr>
        <w:t>2022年度我厅部门整体支出</w:t>
      </w:r>
      <w:r>
        <w:rPr>
          <w:rFonts w:hint="eastAsia"/>
          <w:color w:val="000000" w:themeColor="text1"/>
        </w:rPr>
        <w:t>总体绩效目标</w:t>
      </w:r>
      <w:r>
        <w:rPr>
          <w:color w:val="000000" w:themeColor="text1"/>
        </w:rPr>
        <w:t>为：一是突出稳就业保就业夯实民生保障基础。实现城镇新增就业110万人，城镇失业人员再就业40万人，就业困难人员就业8万人。二是加强社会保障体系建设兜牢民生底线。参加城镇职工基本养老保险人数4850万人，参加失业保险人数3560万人，参加工伤保险3750万人，城乡居民基础养老金标准不低于省政府规定的最低标准。三是推动“粤菜师傅”“广东技工”“南粤家政”三项工程高质量发展。全省完成“粤菜师傅”培训3.7万人次以上，支持“粤菜师傅”发展项目7个，扶持建设“粤菜师傅”培养示范基地不少于5个；全省技工院校保有招生学位数19万个，培训2500名以上技工院校骨干教师及中层管理人员，打造10所高水平技师学院；全省完成“南粤家政”培训20万人次以上，扶持建设家政服务龙头企业30家，</w:t>
      </w:r>
      <w:r>
        <w:rPr>
          <w:rFonts w:cs="Times New Roman"/>
          <w:szCs w:val="32"/>
        </w:rPr>
        <w:t>扶持南粤家政综合服务示范基地数量（含培训基地、产业园、超市）不少于10个</w:t>
      </w:r>
      <w:r>
        <w:rPr>
          <w:color w:val="000000" w:themeColor="text1"/>
        </w:rPr>
        <w:t>。四是不断激发人才创新创造活力。</w:t>
      </w:r>
      <w:r>
        <w:rPr>
          <w:rFonts w:hint="eastAsia"/>
          <w:color w:val="000000" w:themeColor="text1"/>
        </w:rPr>
        <w:t>新增取得职业资格证书或职业技能等级证书达60万人次，新增取得专业技术职业资格证书人数25万人。</w:t>
      </w:r>
      <w:r>
        <w:rPr>
          <w:color w:val="000000" w:themeColor="text1"/>
        </w:rPr>
        <w:t>全省博士后流动站进站人员不低于2500人，全省在站博士后增长率10%以上，全省在站博士后数量占全国排名保持前三位。全省“三支一扶”招募3000人。五是构建新型和谐稳定的劳动关系。劳动人事争议仲裁结案率不低于90%，劳动保障监察举报投诉案件结案率96%，拖欠农民工工资举报投诉案件结案率98%。</w:t>
      </w:r>
      <w:bookmarkStart w:id="8" w:name="_Toc27615"/>
    </w:p>
    <w:p>
      <w:pPr>
        <w:pStyle w:val="3"/>
        <w:numPr>
          <w:ilvl w:val="0"/>
          <w:numId w:val="2"/>
        </w:numPr>
        <w:spacing w:line="570" w:lineRule="exact"/>
        <w:ind w:firstLine="643"/>
        <w:rPr>
          <w:b/>
          <w:bCs/>
          <w:color w:val="000000" w:themeColor="text1"/>
        </w:rPr>
      </w:pPr>
      <w:r>
        <w:rPr>
          <w:rFonts w:hint="eastAsia"/>
          <w:b/>
          <w:bCs/>
          <w:color w:val="000000" w:themeColor="text1"/>
        </w:rPr>
        <w:t>部门整体收支情况</w:t>
      </w:r>
      <w:bookmarkEnd w:id="8"/>
      <w:r>
        <w:rPr>
          <w:rFonts w:hint="eastAsia"/>
          <w:b/>
          <w:bCs/>
          <w:color w:val="000000" w:themeColor="text1"/>
        </w:rPr>
        <w:t>。</w:t>
      </w:r>
    </w:p>
    <w:p>
      <w:pPr>
        <w:ind w:firstLine="640"/>
        <w:rPr>
          <w:color w:val="000000" w:themeColor="text1"/>
        </w:rPr>
      </w:pPr>
      <w:r>
        <w:rPr>
          <w:rFonts w:hint="eastAsia"/>
          <w:color w:val="000000" w:themeColor="text1"/>
        </w:rPr>
        <w:t>根据《广东省财政厅关于批复2022年省级部门预算的通知》（粤财预〔2022〕7号）、我厅部门决算报表，我厅整体收支情况如下：</w:t>
      </w:r>
    </w:p>
    <w:p>
      <w:pPr>
        <w:pStyle w:val="4"/>
        <w:ind w:firstLine="643"/>
        <w:rPr>
          <w:color w:val="000000" w:themeColor="text1"/>
        </w:rPr>
      </w:pPr>
      <w:bookmarkStart w:id="9" w:name="_Toc10240"/>
      <w:r>
        <w:rPr>
          <w:rFonts w:hint="eastAsia"/>
          <w:color w:val="000000" w:themeColor="text1"/>
        </w:rPr>
        <w:t>1.部门整体收入情况。</w:t>
      </w:r>
      <w:bookmarkEnd w:id="9"/>
    </w:p>
    <w:p>
      <w:pPr>
        <w:ind w:firstLine="640"/>
        <w:rPr>
          <w:color w:val="000000" w:themeColor="text1"/>
        </w:rPr>
      </w:pPr>
      <w:r>
        <w:rPr>
          <w:rFonts w:hint="eastAsia"/>
          <w:color w:val="000000" w:themeColor="text1"/>
        </w:rPr>
        <w:t>2022年度收入决算数合计820,880.63万元，主要包括：一般公共预算财政拨款收入752,014.89万元，占总收入91.61%，是全厅收入主要来源，是人力资源社会保障事业发展的重要资金保障；政府性基金预算财政拨款收入13,000万元，占总收入1.58%，主要是省技工教育示范基地二期工程项目资金；国有资本经营预算财政拨款收入72万元，占总收入0.01%，主要是省直企业退休人员移交社区管理经费；事业收入43,008.77万元,占总收入5.24%，主要是厅属技工院校教育收费和省工康复中心医疗业务收入；经营收入202.95万元，占总收入0.02%，主要是部分厅属单位资产出租上缴省财政收入；其他收入6,344.15万元，占总收入0.77%，主要是非本级财政拨款收入；使用事业基金弥补收入6,237.86万元，占总收入0.76%。</w:t>
      </w:r>
    </w:p>
    <w:p>
      <w:pPr>
        <w:spacing w:line="570" w:lineRule="exact"/>
        <w:ind w:firstLine="560"/>
        <w:jc w:val="center"/>
        <w:rPr>
          <w:rFonts w:eastAsia="黑体" w:cs="黑体"/>
          <w:color w:val="000000" w:themeColor="text1"/>
          <w:sz w:val="28"/>
          <w:szCs w:val="36"/>
        </w:rPr>
      </w:pPr>
      <w:r>
        <w:rPr>
          <w:rFonts w:hint="eastAsia" w:eastAsia="黑体" w:cs="黑体"/>
          <w:color w:val="000000" w:themeColor="text1"/>
          <w:sz w:val="28"/>
          <w:szCs w:val="36"/>
        </w:rPr>
        <w:t>表1-3部门整体收入基本情况</w:t>
      </w:r>
    </w:p>
    <w:p>
      <w:pPr>
        <w:spacing w:line="360" w:lineRule="auto"/>
        <w:ind w:firstLine="0" w:firstLineChars="0"/>
        <w:jc w:val="center"/>
        <w:rPr>
          <w:rFonts w:cs="仿宋_GB2312"/>
          <w:b/>
          <w:bCs/>
          <w:color w:val="000000" w:themeColor="text1"/>
          <w:sz w:val="24"/>
        </w:rPr>
      </w:pPr>
      <w:r>
        <w:rPr>
          <w:rFonts w:hint="eastAsia" w:cs="仿宋_GB2312"/>
          <w:b/>
          <w:bCs/>
          <w:color w:val="000000" w:themeColor="text1"/>
          <w:sz w:val="24"/>
        </w:rPr>
        <w:t xml:space="preserve">                                                       金额单位：万元</w:t>
      </w:r>
    </w:p>
    <w:tbl>
      <w:tblPr>
        <w:tblStyle w:val="16"/>
        <w:tblW w:w="5000" w:type="pct"/>
        <w:jc w:val="center"/>
        <w:tblLayout w:type="autofit"/>
        <w:tblCellMar>
          <w:top w:w="0" w:type="dxa"/>
          <w:left w:w="108" w:type="dxa"/>
          <w:bottom w:w="0" w:type="dxa"/>
          <w:right w:w="108" w:type="dxa"/>
        </w:tblCellMar>
      </w:tblPr>
      <w:tblGrid>
        <w:gridCol w:w="4902"/>
        <w:gridCol w:w="2105"/>
        <w:gridCol w:w="1941"/>
      </w:tblGrid>
      <w:tr>
        <w:tblPrEx>
          <w:tblCellMar>
            <w:top w:w="0" w:type="dxa"/>
            <w:left w:w="108" w:type="dxa"/>
            <w:bottom w:w="0" w:type="dxa"/>
            <w:right w:w="108" w:type="dxa"/>
          </w:tblCellMar>
        </w:tblPrEx>
        <w:trPr>
          <w:trHeight w:val="289" w:hRule="atLeast"/>
          <w:jc w:val="center"/>
        </w:trPr>
        <w:tc>
          <w:tcPr>
            <w:tcW w:w="4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center"/>
              <w:textAlignment w:val="center"/>
              <w:rPr>
                <w:rFonts w:cs="仿宋_GB2312"/>
                <w:color w:val="000000" w:themeColor="text1"/>
                <w:sz w:val="24"/>
              </w:rPr>
            </w:pPr>
            <w:r>
              <w:rPr>
                <w:rFonts w:hint="eastAsia" w:cs="仿宋_GB2312"/>
                <w:color w:val="000000" w:themeColor="text1"/>
                <w:kern w:val="0"/>
                <w:sz w:val="24"/>
              </w:rPr>
              <w:t>项目</w:t>
            </w:r>
          </w:p>
        </w:tc>
        <w:tc>
          <w:tcPr>
            <w:tcW w:w="2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center"/>
              <w:textAlignment w:val="center"/>
              <w:rPr>
                <w:rFonts w:cs="仿宋_GB2312"/>
                <w:color w:val="000000" w:themeColor="text1"/>
                <w:sz w:val="24"/>
              </w:rPr>
            </w:pPr>
            <w:r>
              <w:rPr>
                <w:rFonts w:hint="eastAsia" w:cs="仿宋_GB2312"/>
                <w:color w:val="000000" w:themeColor="text1"/>
                <w:kern w:val="0"/>
                <w:sz w:val="24"/>
              </w:rPr>
              <w:t>年初预算数</w:t>
            </w:r>
          </w:p>
        </w:tc>
        <w:tc>
          <w:tcPr>
            <w:tcW w:w="1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center"/>
              <w:textAlignment w:val="center"/>
              <w:rPr>
                <w:rFonts w:cs="仿宋_GB2312"/>
                <w:color w:val="000000" w:themeColor="text1"/>
                <w:sz w:val="24"/>
              </w:rPr>
            </w:pPr>
            <w:r>
              <w:rPr>
                <w:rFonts w:hint="eastAsia" w:cs="仿宋_GB2312"/>
                <w:color w:val="000000" w:themeColor="text1"/>
                <w:kern w:val="0"/>
                <w:sz w:val="24"/>
              </w:rPr>
              <w:t>决算数</w:t>
            </w:r>
          </w:p>
        </w:tc>
      </w:tr>
      <w:tr>
        <w:tblPrEx>
          <w:tblCellMar>
            <w:top w:w="0" w:type="dxa"/>
            <w:left w:w="108" w:type="dxa"/>
            <w:bottom w:w="0" w:type="dxa"/>
            <w:right w:w="108" w:type="dxa"/>
          </w:tblCellMar>
        </w:tblPrEx>
        <w:trPr>
          <w:trHeight w:val="289" w:hRule="atLeast"/>
          <w:jc w:val="center"/>
        </w:trPr>
        <w:tc>
          <w:tcPr>
            <w:tcW w:w="4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left"/>
              <w:textAlignment w:val="center"/>
              <w:rPr>
                <w:rFonts w:cs="仿宋_GB2312"/>
                <w:color w:val="000000" w:themeColor="text1"/>
                <w:kern w:val="0"/>
                <w:sz w:val="24"/>
              </w:rPr>
            </w:pPr>
            <w:r>
              <w:rPr>
                <w:rFonts w:hint="eastAsia" w:cs="仿宋_GB2312"/>
                <w:color w:val="000000" w:themeColor="text1"/>
                <w:kern w:val="0"/>
                <w:sz w:val="24"/>
              </w:rPr>
              <w:t>本年收入合计</w:t>
            </w:r>
          </w:p>
        </w:tc>
        <w:tc>
          <w:tcPr>
            <w:tcW w:w="2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right"/>
              <w:textAlignment w:val="center"/>
              <w:rPr>
                <w:rFonts w:cs="仿宋_GB2312"/>
                <w:color w:val="000000" w:themeColor="text1"/>
                <w:kern w:val="0"/>
                <w:sz w:val="24"/>
              </w:rPr>
            </w:pPr>
            <w:r>
              <w:rPr>
                <w:rFonts w:hint="eastAsia" w:cs="仿宋_GB2312"/>
                <w:color w:val="000000" w:themeColor="text1"/>
                <w:kern w:val="0"/>
                <w:sz w:val="24"/>
              </w:rPr>
              <w:t>304,221.77</w:t>
            </w:r>
          </w:p>
        </w:tc>
        <w:tc>
          <w:tcPr>
            <w:tcW w:w="1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right"/>
              <w:textAlignment w:val="center"/>
              <w:rPr>
                <w:rFonts w:cs="仿宋_GB2312"/>
                <w:color w:val="000000" w:themeColor="text1"/>
                <w:kern w:val="0"/>
                <w:sz w:val="24"/>
              </w:rPr>
            </w:pPr>
            <w:r>
              <w:rPr>
                <w:rFonts w:hint="eastAsia" w:cs="仿宋_GB2312"/>
                <w:color w:val="000000" w:themeColor="text1"/>
                <w:kern w:val="0"/>
                <w:sz w:val="24"/>
              </w:rPr>
              <w:t>820,880.63</w:t>
            </w:r>
          </w:p>
        </w:tc>
      </w:tr>
      <w:tr>
        <w:tblPrEx>
          <w:tblCellMar>
            <w:top w:w="0" w:type="dxa"/>
            <w:left w:w="108" w:type="dxa"/>
            <w:bottom w:w="0" w:type="dxa"/>
            <w:right w:w="108" w:type="dxa"/>
          </w:tblCellMar>
        </w:tblPrEx>
        <w:trPr>
          <w:trHeight w:val="289" w:hRule="atLeast"/>
          <w:jc w:val="center"/>
        </w:trPr>
        <w:tc>
          <w:tcPr>
            <w:tcW w:w="4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left"/>
              <w:textAlignment w:val="center"/>
              <w:rPr>
                <w:rFonts w:cs="仿宋_GB2312"/>
                <w:color w:val="000000" w:themeColor="text1"/>
                <w:sz w:val="24"/>
              </w:rPr>
            </w:pPr>
            <w:r>
              <w:rPr>
                <w:rFonts w:hint="eastAsia" w:cs="仿宋_GB2312"/>
                <w:color w:val="000000" w:themeColor="text1"/>
                <w:kern w:val="0"/>
                <w:sz w:val="24"/>
              </w:rPr>
              <w:t>一般公共预算财政拨款收入</w:t>
            </w:r>
          </w:p>
        </w:tc>
        <w:tc>
          <w:tcPr>
            <w:tcW w:w="2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right"/>
              <w:textAlignment w:val="center"/>
              <w:rPr>
                <w:rFonts w:cs="仿宋_GB2312"/>
                <w:color w:val="000000" w:themeColor="text1"/>
                <w:sz w:val="24"/>
              </w:rPr>
            </w:pPr>
            <w:r>
              <w:rPr>
                <w:rFonts w:hint="eastAsia" w:cs="仿宋_GB2312"/>
                <w:color w:val="000000" w:themeColor="text1"/>
                <w:kern w:val="0"/>
                <w:sz w:val="24"/>
              </w:rPr>
              <w:t>255990.81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right"/>
              <w:textAlignment w:val="center"/>
              <w:rPr>
                <w:rFonts w:cs="仿宋_GB2312"/>
                <w:color w:val="000000" w:themeColor="text1"/>
                <w:sz w:val="24"/>
              </w:rPr>
            </w:pPr>
            <w:r>
              <w:rPr>
                <w:rFonts w:hint="eastAsia" w:cs="仿宋_GB2312"/>
                <w:color w:val="000000" w:themeColor="text1"/>
                <w:kern w:val="0"/>
                <w:sz w:val="24"/>
              </w:rPr>
              <w:t>752,014.89</w:t>
            </w:r>
          </w:p>
        </w:tc>
      </w:tr>
      <w:tr>
        <w:tblPrEx>
          <w:tblCellMar>
            <w:top w:w="0" w:type="dxa"/>
            <w:left w:w="108" w:type="dxa"/>
            <w:bottom w:w="0" w:type="dxa"/>
            <w:right w:w="108" w:type="dxa"/>
          </w:tblCellMar>
        </w:tblPrEx>
        <w:trPr>
          <w:trHeight w:val="289" w:hRule="atLeast"/>
          <w:jc w:val="center"/>
        </w:trPr>
        <w:tc>
          <w:tcPr>
            <w:tcW w:w="4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left"/>
              <w:textAlignment w:val="center"/>
              <w:rPr>
                <w:rFonts w:cs="仿宋_GB2312"/>
                <w:color w:val="000000" w:themeColor="text1"/>
                <w:sz w:val="24"/>
              </w:rPr>
            </w:pPr>
            <w:r>
              <w:rPr>
                <w:rFonts w:hint="eastAsia" w:cs="仿宋_GB2312"/>
                <w:color w:val="000000" w:themeColor="text1"/>
                <w:kern w:val="0"/>
                <w:sz w:val="24"/>
              </w:rPr>
              <w:t>政府性基金预算财政拨款收入</w:t>
            </w:r>
          </w:p>
        </w:tc>
        <w:tc>
          <w:tcPr>
            <w:tcW w:w="2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right"/>
              <w:textAlignment w:val="center"/>
              <w:rPr>
                <w:rFonts w:cs="仿宋_GB2312"/>
                <w:color w:val="000000" w:themeColor="text1"/>
                <w:sz w:val="24"/>
              </w:rPr>
            </w:pPr>
            <w:r>
              <w:rPr>
                <w:rFonts w:hint="eastAsia" w:cs="仿宋_GB2312"/>
                <w:color w:val="000000" w:themeColor="text1"/>
                <w:kern w:val="0"/>
                <w:sz w:val="24"/>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right"/>
              <w:textAlignment w:val="center"/>
              <w:rPr>
                <w:rFonts w:cs="仿宋_GB2312"/>
                <w:color w:val="000000" w:themeColor="text1"/>
                <w:sz w:val="24"/>
              </w:rPr>
            </w:pPr>
            <w:r>
              <w:rPr>
                <w:rFonts w:hint="eastAsia" w:cs="仿宋_GB2312"/>
                <w:color w:val="000000" w:themeColor="text1"/>
                <w:kern w:val="0"/>
                <w:sz w:val="24"/>
              </w:rPr>
              <w:t>13,000.00</w:t>
            </w:r>
          </w:p>
        </w:tc>
      </w:tr>
      <w:tr>
        <w:tblPrEx>
          <w:tblCellMar>
            <w:top w:w="0" w:type="dxa"/>
            <w:left w:w="108" w:type="dxa"/>
            <w:bottom w:w="0" w:type="dxa"/>
            <w:right w:w="108" w:type="dxa"/>
          </w:tblCellMar>
        </w:tblPrEx>
        <w:trPr>
          <w:trHeight w:val="289" w:hRule="atLeast"/>
          <w:jc w:val="center"/>
        </w:trPr>
        <w:tc>
          <w:tcPr>
            <w:tcW w:w="4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left"/>
              <w:textAlignment w:val="center"/>
              <w:rPr>
                <w:rFonts w:cs="仿宋_GB2312"/>
                <w:color w:val="000000" w:themeColor="text1"/>
                <w:sz w:val="24"/>
              </w:rPr>
            </w:pPr>
            <w:r>
              <w:rPr>
                <w:rFonts w:hint="eastAsia" w:cs="仿宋_GB2312"/>
                <w:color w:val="000000" w:themeColor="text1"/>
                <w:kern w:val="0"/>
                <w:sz w:val="24"/>
              </w:rPr>
              <w:t>国有资本经营预算财政拨款收入</w:t>
            </w:r>
          </w:p>
        </w:tc>
        <w:tc>
          <w:tcPr>
            <w:tcW w:w="2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right"/>
              <w:textAlignment w:val="center"/>
              <w:rPr>
                <w:rFonts w:cs="仿宋_GB2312"/>
                <w:color w:val="000000" w:themeColor="text1"/>
                <w:sz w:val="24"/>
              </w:rPr>
            </w:pPr>
            <w:r>
              <w:rPr>
                <w:rFonts w:hint="eastAsia" w:cs="仿宋_GB2312"/>
                <w:color w:val="000000" w:themeColor="text1"/>
                <w:kern w:val="0"/>
                <w:sz w:val="24"/>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right"/>
              <w:textAlignment w:val="center"/>
              <w:rPr>
                <w:rFonts w:cs="仿宋_GB2312"/>
                <w:color w:val="000000" w:themeColor="text1"/>
                <w:sz w:val="24"/>
              </w:rPr>
            </w:pPr>
            <w:r>
              <w:rPr>
                <w:rFonts w:hint="eastAsia" w:cs="仿宋_GB2312"/>
                <w:color w:val="000000" w:themeColor="text1"/>
                <w:kern w:val="0"/>
                <w:sz w:val="24"/>
              </w:rPr>
              <w:t>72</w:t>
            </w:r>
          </w:p>
        </w:tc>
      </w:tr>
      <w:tr>
        <w:tblPrEx>
          <w:tblCellMar>
            <w:top w:w="0" w:type="dxa"/>
            <w:left w:w="108" w:type="dxa"/>
            <w:bottom w:w="0" w:type="dxa"/>
            <w:right w:w="108" w:type="dxa"/>
          </w:tblCellMar>
        </w:tblPrEx>
        <w:trPr>
          <w:trHeight w:val="289" w:hRule="atLeast"/>
          <w:jc w:val="center"/>
        </w:trPr>
        <w:tc>
          <w:tcPr>
            <w:tcW w:w="4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left"/>
              <w:textAlignment w:val="center"/>
              <w:rPr>
                <w:rFonts w:cs="仿宋_GB2312"/>
                <w:color w:val="000000" w:themeColor="text1"/>
                <w:sz w:val="24"/>
              </w:rPr>
            </w:pPr>
            <w:r>
              <w:rPr>
                <w:rFonts w:hint="eastAsia" w:cs="仿宋_GB2312"/>
                <w:color w:val="000000" w:themeColor="text1"/>
                <w:kern w:val="0"/>
                <w:sz w:val="24"/>
              </w:rPr>
              <w:t>事业收入</w:t>
            </w:r>
          </w:p>
        </w:tc>
        <w:tc>
          <w:tcPr>
            <w:tcW w:w="2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right"/>
              <w:textAlignment w:val="center"/>
              <w:rPr>
                <w:rFonts w:cs="仿宋_GB2312"/>
                <w:color w:val="000000" w:themeColor="text1"/>
                <w:sz w:val="24"/>
              </w:rPr>
            </w:pPr>
            <w:r>
              <w:rPr>
                <w:rFonts w:hint="eastAsia" w:cs="仿宋_GB2312"/>
                <w:color w:val="000000" w:themeColor="text1"/>
                <w:kern w:val="0"/>
                <w:sz w:val="24"/>
              </w:rPr>
              <w:t>42,984.10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right"/>
              <w:textAlignment w:val="center"/>
              <w:rPr>
                <w:rFonts w:cs="仿宋_GB2312"/>
                <w:color w:val="000000" w:themeColor="text1"/>
                <w:sz w:val="24"/>
              </w:rPr>
            </w:pPr>
            <w:r>
              <w:rPr>
                <w:rFonts w:hint="eastAsia" w:cs="仿宋_GB2312"/>
                <w:color w:val="000000" w:themeColor="text1"/>
                <w:kern w:val="0"/>
                <w:sz w:val="24"/>
              </w:rPr>
              <w:t>43,008.77</w:t>
            </w:r>
          </w:p>
        </w:tc>
      </w:tr>
      <w:tr>
        <w:tblPrEx>
          <w:tblCellMar>
            <w:top w:w="0" w:type="dxa"/>
            <w:left w:w="108" w:type="dxa"/>
            <w:bottom w:w="0" w:type="dxa"/>
            <w:right w:w="108" w:type="dxa"/>
          </w:tblCellMar>
        </w:tblPrEx>
        <w:trPr>
          <w:trHeight w:val="289" w:hRule="atLeast"/>
          <w:jc w:val="center"/>
        </w:trPr>
        <w:tc>
          <w:tcPr>
            <w:tcW w:w="4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left"/>
              <w:textAlignment w:val="center"/>
              <w:rPr>
                <w:rFonts w:cs="仿宋_GB2312"/>
                <w:color w:val="000000" w:themeColor="text1"/>
                <w:sz w:val="24"/>
              </w:rPr>
            </w:pPr>
            <w:r>
              <w:rPr>
                <w:rFonts w:hint="eastAsia" w:cs="仿宋_GB2312"/>
                <w:color w:val="000000" w:themeColor="text1"/>
                <w:kern w:val="0"/>
                <w:sz w:val="24"/>
              </w:rPr>
              <w:t>经营收入</w:t>
            </w:r>
          </w:p>
        </w:tc>
        <w:tc>
          <w:tcPr>
            <w:tcW w:w="2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right"/>
              <w:textAlignment w:val="center"/>
              <w:rPr>
                <w:rFonts w:cs="仿宋_GB2312"/>
                <w:color w:val="000000" w:themeColor="text1"/>
                <w:sz w:val="24"/>
              </w:rPr>
            </w:pPr>
            <w:r>
              <w:rPr>
                <w:rFonts w:hint="eastAsia" w:cs="仿宋_GB2312"/>
                <w:color w:val="000000" w:themeColor="text1"/>
                <w:kern w:val="0"/>
                <w:sz w:val="24"/>
              </w:rPr>
              <w:t>239.6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right"/>
              <w:textAlignment w:val="center"/>
              <w:rPr>
                <w:rFonts w:cs="仿宋_GB2312"/>
                <w:color w:val="000000" w:themeColor="text1"/>
                <w:sz w:val="24"/>
              </w:rPr>
            </w:pPr>
            <w:r>
              <w:rPr>
                <w:rFonts w:hint="eastAsia" w:cs="仿宋_GB2312"/>
                <w:color w:val="000000" w:themeColor="text1"/>
                <w:kern w:val="0"/>
                <w:sz w:val="24"/>
              </w:rPr>
              <w:t>202.95</w:t>
            </w:r>
          </w:p>
        </w:tc>
      </w:tr>
      <w:tr>
        <w:tblPrEx>
          <w:tblCellMar>
            <w:top w:w="0" w:type="dxa"/>
            <w:left w:w="108" w:type="dxa"/>
            <w:bottom w:w="0" w:type="dxa"/>
            <w:right w:w="108" w:type="dxa"/>
          </w:tblCellMar>
        </w:tblPrEx>
        <w:trPr>
          <w:trHeight w:val="289" w:hRule="atLeast"/>
          <w:jc w:val="center"/>
        </w:trPr>
        <w:tc>
          <w:tcPr>
            <w:tcW w:w="4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left"/>
              <w:textAlignment w:val="center"/>
              <w:rPr>
                <w:rFonts w:cs="仿宋_GB2312"/>
                <w:color w:val="000000" w:themeColor="text1"/>
                <w:sz w:val="24"/>
              </w:rPr>
            </w:pPr>
            <w:r>
              <w:rPr>
                <w:rFonts w:hint="eastAsia" w:cs="仿宋_GB2312"/>
                <w:color w:val="000000" w:themeColor="text1"/>
                <w:kern w:val="0"/>
                <w:sz w:val="24"/>
              </w:rPr>
              <w:t>其他收入</w:t>
            </w:r>
          </w:p>
        </w:tc>
        <w:tc>
          <w:tcPr>
            <w:tcW w:w="2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right"/>
              <w:textAlignment w:val="center"/>
              <w:rPr>
                <w:rFonts w:cs="仿宋_GB2312"/>
                <w:color w:val="000000" w:themeColor="text1"/>
                <w:sz w:val="24"/>
              </w:rPr>
            </w:pPr>
            <w:r>
              <w:rPr>
                <w:rFonts w:hint="eastAsia" w:cs="仿宋_GB2312"/>
                <w:color w:val="000000" w:themeColor="text1"/>
                <w:kern w:val="0"/>
                <w:sz w:val="24"/>
              </w:rPr>
              <w:t>1829.422521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right"/>
              <w:textAlignment w:val="center"/>
              <w:rPr>
                <w:rFonts w:cs="仿宋_GB2312"/>
                <w:color w:val="000000" w:themeColor="text1"/>
                <w:sz w:val="24"/>
              </w:rPr>
            </w:pPr>
            <w:r>
              <w:rPr>
                <w:rFonts w:hint="eastAsia" w:cs="仿宋_GB2312"/>
                <w:color w:val="000000" w:themeColor="text1"/>
                <w:kern w:val="0"/>
                <w:sz w:val="24"/>
              </w:rPr>
              <w:t>6,344.15</w:t>
            </w:r>
          </w:p>
        </w:tc>
      </w:tr>
      <w:tr>
        <w:tblPrEx>
          <w:tblCellMar>
            <w:top w:w="0" w:type="dxa"/>
            <w:left w:w="108" w:type="dxa"/>
            <w:bottom w:w="0" w:type="dxa"/>
            <w:right w:w="108" w:type="dxa"/>
          </w:tblCellMar>
        </w:tblPrEx>
        <w:trPr>
          <w:trHeight w:val="289" w:hRule="atLeast"/>
          <w:jc w:val="center"/>
        </w:trPr>
        <w:tc>
          <w:tcPr>
            <w:tcW w:w="4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left"/>
              <w:textAlignment w:val="center"/>
              <w:rPr>
                <w:rFonts w:cs="仿宋_GB2312"/>
                <w:color w:val="000000" w:themeColor="text1"/>
                <w:sz w:val="24"/>
              </w:rPr>
            </w:pPr>
            <w:r>
              <w:rPr>
                <w:rFonts w:hint="eastAsia" w:cs="仿宋_GB2312"/>
                <w:color w:val="000000" w:themeColor="text1"/>
                <w:kern w:val="0"/>
                <w:sz w:val="24"/>
              </w:rPr>
              <w:t>使用事业基金弥补收入</w:t>
            </w:r>
          </w:p>
        </w:tc>
        <w:tc>
          <w:tcPr>
            <w:tcW w:w="2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right"/>
              <w:textAlignment w:val="center"/>
              <w:rPr>
                <w:rFonts w:cs="仿宋_GB2312"/>
                <w:color w:val="000000" w:themeColor="text1"/>
                <w:sz w:val="24"/>
              </w:rPr>
            </w:pPr>
            <w:r>
              <w:rPr>
                <w:rFonts w:hint="eastAsia" w:cs="仿宋_GB2312"/>
                <w:color w:val="000000" w:themeColor="text1"/>
                <w:kern w:val="0"/>
                <w:sz w:val="24"/>
              </w:rPr>
              <w:t>3,177.84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right"/>
              <w:textAlignment w:val="center"/>
              <w:rPr>
                <w:rFonts w:cs="仿宋_GB2312"/>
                <w:color w:val="000000" w:themeColor="text1"/>
                <w:sz w:val="24"/>
              </w:rPr>
            </w:pPr>
            <w:r>
              <w:rPr>
                <w:rFonts w:hint="eastAsia" w:cs="仿宋_GB2312"/>
                <w:color w:val="000000" w:themeColor="text1"/>
                <w:kern w:val="0"/>
                <w:sz w:val="24"/>
              </w:rPr>
              <w:t>6,237.86</w:t>
            </w:r>
          </w:p>
        </w:tc>
      </w:tr>
    </w:tbl>
    <w:p>
      <w:pPr>
        <w:pStyle w:val="4"/>
        <w:ind w:firstLine="643"/>
        <w:rPr>
          <w:color w:val="000000" w:themeColor="text1"/>
        </w:rPr>
      </w:pPr>
      <w:bookmarkStart w:id="10" w:name="_Toc1437"/>
      <w:r>
        <w:rPr>
          <w:rFonts w:hint="eastAsia"/>
          <w:color w:val="000000" w:themeColor="text1"/>
        </w:rPr>
        <w:t>2.部门整体支出情况。</w:t>
      </w:r>
      <w:bookmarkEnd w:id="10"/>
    </w:p>
    <w:p>
      <w:pPr>
        <w:ind w:firstLine="640"/>
        <w:rPr>
          <w:rFonts w:cs="Times New Roman"/>
          <w:color w:val="000000" w:themeColor="text1"/>
          <w:kern w:val="0"/>
          <w:szCs w:val="31"/>
        </w:rPr>
      </w:pPr>
      <w:r>
        <w:rPr>
          <w:rFonts w:hint="eastAsia"/>
          <w:color w:val="000000" w:themeColor="text1"/>
        </w:rPr>
        <w:t>2022年度支出决算数合计859,932.34万元。其中：一般公共服务支出3,369.87万元，占总支出0.39%；教育支出296,987.00万元，占总支出34.54%；科学技术支出39,513.13万元，占总支出4.59%；社会保障和就业支出506,5</w:t>
      </w:r>
      <w:r>
        <w:rPr>
          <w:rFonts w:hint="eastAsia"/>
          <w:color w:val="000000" w:themeColor="text1"/>
          <w:lang w:val="en-US" w:eastAsia="zh-CN"/>
        </w:rPr>
        <w:t>47.40</w:t>
      </w:r>
      <w:r>
        <w:rPr>
          <w:rFonts w:hint="eastAsia"/>
          <w:color w:val="000000" w:themeColor="text1"/>
        </w:rPr>
        <w:t>万元，占总支出58.91%；卫生健康支出378.41万元，占总支出0.04%；城乡社区支出64.53万元，占总支出0.01%；国有资本经营预算支出72万元，占总支出0.01%；其他支出13,000万元，占总支出1.51%</w:t>
      </w:r>
      <w:r>
        <w:rPr>
          <w:color w:val="000000" w:themeColor="text1"/>
        </w:rPr>
        <w:t>，具体情况见表1-</w:t>
      </w:r>
      <w:r>
        <w:rPr>
          <w:rFonts w:hint="eastAsia"/>
          <w:color w:val="000000" w:themeColor="text1"/>
        </w:rPr>
        <w:t>4</w:t>
      </w:r>
      <w:r>
        <w:rPr>
          <w:color w:val="000000" w:themeColor="text1"/>
        </w:rPr>
        <w:t>。</w:t>
      </w:r>
    </w:p>
    <w:p>
      <w:pPr>
        <w:spacing w:line="360" w:lineRule="auto"/>
        <w:ind w:firstLine="560"/>
        <w:jc w:val="center"/>
        <w:rPr>
          <w:rFonts w:eastAsia="黑体" w:cs="黑体"/>
          <w:color w:val="000000" w:themeColor="text1"/>
          <w:sz w:val="28"/>
          <w:szCs w:val="36"/>
        </w:rPr>
      </w:pPr>
      <w:r>
        <w:rPr>
          <w:rFonts w:hint="eastAsia" w:eastAsia="黑体" w:cs="黑体"/>
          <w:color w:val="000000" w:themeColor="text1"/>
          <w:sz w:val="28"/>
          <w:szCs w:val="36"/>
        </w:rPr>
        <w:t>表1-4 部门整体支出基本情况</w:t>
      </w:r>
    </w:p>
    <w:p>
      <w:pPr>
        <w:spacing w:line="360" w:lineRule="auto"/>
        <w:ind w:firstLine="482"/>
        <w:jc w:val="right"/>
        <w:rPr>
          <w:rFonts w:eastAsia="黑体" w:cs="黑体"/>
          <w:color w:val="000000" w:themeColor="text1"/>
          <w:sz w:val="28"/>
          <w:szCs w:val="36"/>
        </w:rPr>
      </w:pPr>
      <w:r>
        <w:rPr>
          <w:rFonts w:hint="eastAsia" w:cs="仿宋_GB2312"/>
          <w:b/>
          <w:bCs/>
          <w:color w:val="000000" w:themeColor="text1"/>
          <w:sz w:val="24"/>
        </w:rPr>
        <w:t>金额单位：万元</w:t>
      </w:r>
    </w:p>
    <w:tbl>
      <w:tblPr>
        <w:tblStyle w:val="16"/>
        <w:tblW w:w="8628" w:type="dxa"/>
        <w:tblInd w:w="96" w:type="dxa"/>
        <w:tblLayout w:type="fixed"/>
        <w:tblCellMar>
          <w:top w:w="0" w:type="dxa"/>
          <w:left w:w="108" w:type="dxa"/>
          <w:bottom w:w="0" w:type="dxa"/>
          <w:right w:w="108" w:type="dxa"/>
        </w:tblCellMar>
      </w:tblPr>
      <w:tblGrid>
        <w:gridCol w:w="3024"/>
        <w:gridCol w:w="1719"/>
        <w:gridCol w:w="1992"/>
        <w:gridCol w:w="1893"/>
      </w:tblGrid>
      <w:tr>
        <w:tblPrEx>
          <w:tblCellMar>
            <w:top w:w="0" w:type="dxa"/>
            <w:left w:w="108" w:type="dxa"/>
            <w:bottom w:w="0" w:type="dxa"/>
            <w:right w:w="108" w:type="dxa"/>
          </w:tblCellMar>
        </w:tblPrEx>
        <w:trPr>
          <w:trHeight w:val="288" w:hRule="atLeast"/>
        </w:trPr>
        <w:tc>
          <w:tcPr>
            <w:tcW w:w="30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center"/>
              <w:textAlignment w:val="center"/>
              <w:rPr>
                <w:rFonts w:cs="仿宋_GB2312"/>
                <w:color w:val="000000" w:themeColor="text1"/>
                <w:sz w:val="24"/>
              </w:rPr>
            </w:pPr>
            <w:r>
              <w:rPr>
                <w:rFonts w:hint="eastAsia" w:cs="仿宋_GB2312"/>
                <w:color w:val="000000" w:themeColor="text1"/>
                <w:kern w:val="0"/>
                <w:sz w:val="24"/>
              </w:rPr>
              <w:t>项目</w:t>
            </w:r>
          </w:p>
        </w:tc>
        <w:tc>
          <w:tcPr>
            <w:tcW w:w="1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center"/>
              <w:textAlignment w:val="center"/>
              <w:rPr>
                <w:rFonts w:cs="仿宋_GB2312"/>
                <w:color w:val="000000" w:themeColor="text1"/>
                <w:sz w:val="24"/>
              </w:rPr>
            </w:pPr>
            <w:r>
              <w:rPr>
                <w:rFonts w:hint="eastAsia" w:cs="仿宋_GB2312"/>
                <w:color w:val="000000" w:themeColor="text1"/>
                <w:kern w:val="0"/>
                <w:sz w:val="24"/>
              </w:rPr>
              <w:t>年初预算数</w:t>
            </w:r>
          </w:p>
        </w:tc>
        <w:tc>
          <w:tcPr>
            <w:tcW w:w="1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center"/>
              <w:textAlignment w:val="center"/>
              <w:rPr>
                <w:rFonts w:cs="仿宋_GB2312"/>
                <w:color w:val="000000" w:themeColor="text1"/>
                <w:sz w:val="24"/>
              </w:rPr>
            </w:pPr>
            <w:r>
              <w:rPr>
                <w:rFonts w:hint="eastAsia" w:cs="仿宋_GB2312"/>
                <w:color w:val="000000" w:themeColor="text1"/>
                <w:kern w:val="0"/>
                <w:sz w:val="24"/>
              </w:rPr>
              <w:t>决算数</w:t>
            </w:r>
          </w:p>
        </w:tc>
        <w:tc>
          <w:tcPr>
            <w:tcW w:w="1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center"/>
              <w:textAlignment w:val="center"/>
              <w:rPr>
                <w:rFonts w:cs="仿宋_GB2312"/>
                <w:color w:val="000000" w:themeColor="text1"/>
                <w:sz w:val="24"/>
              </w:rPr>
            </w:pPr>
            <w:r>
              <w:rPr>
                <w:rFonts w:hint="eastAsia" w:cs="仿宋_GB2312"/>
                <w:color w:val="000000" w:themeColor="text1"/>
                <w:kern w:val="0"/>
                <w:sz w:val="24"/>
              </w:rPr>
              <w:t>增减变动数</w:t>
            </w:r>
          </w:p>
        </w:tc>
      </w:tr>
      <w:tr>
        <w:trPr>
          <w:trHeight w:val="288" w:hRule="atLeast"/>
        </w:trPr>
        <w:tc>
          <w:tcPr>
            <w:tcW w:w="30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left"/>
              <w:textAlignment w:val="center"/>
              <w:rPr>
                <w:rFonts w:cs="仿宋_GB2312"/>
                <w:color w:val="000000" w:themeColor="text1"/>
                <w:sz w:val="24"/>
              </w:rPr>
            </w:pPr>
            <w:r>
              <w:rPr>
                <w:rFonts w:hint="eastAsia" w:cs="仿宋_GB2312"/>
                <w:color w:val="000000" w:themeColor="text1"/>
                <w:kern w:val="0"/>
                <w:sz w:val="24"/>
              </w:rPr>
              <w:t>一般公共服务支出</w:t>
            </w:r>
          </w:p>
        </w:tc>
        <w:tc>
          <w:tcPr>
            <w:tcW w:w="1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right"/>
              <w:textAlignment w:val="center"/>
              <w:rPr>
                <w:rFonts w:cs="仿宋_GB2312"/>
                <w:color w:val="000000" w:themeColor="text1"/>
                <w:sz w:val="24"/>
              </w:rPr>
            </w:pPr>
            <w:r>
              <w:rPr>
                <w:rFonts w:hint="eastAsia" w:cs="仿宋_GB2312"/>
                <w:color w:val="000000" w:themeColor="text1"/>
                <w:kern w:val="0"/>
                <w:sz w:val="24"/>
              </w:rPr>
              <w:t>927.00</w:t>
            </w:r>
          </w:p>
        </w:tc>
        <w:tc>
          <w:tcPr>
            <w:tcW w:w="1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right"/>
              <w:textAlignment w:val="center"/>
              <w:rPr>
                <w:rFonts w:cs="仿宋_GB2312"/>
                <w:color w:val="000000" w:themeColor="text1"/>
                <w:sz w:val="24"/>
              </w:rPr>
            </w:pPr>
            <w:r>
              <w:rPr>
                <w:rFonts w:hint="eastAsia" w:cs="仿宋_GB2312"/>
                <w:color w:val="000000" w:themeColor="text1"/>
                <w:kern w:val="0"/>
                <w:sz w:val="24"/>
              </w:rPr>
              <w:t>3,369.87</w:t>
            </w:r>
          </w:p>
        </w:tc>
        <w:tc>
          <w:tcPr>
            <w:tcW w:w="1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right"/>
              <w:textAlignment w:val="center"/>
              <w:rPr>
                <w:rFonts w:cs="仿宋_GB2312"/>
                <w:color w:val="000000" w:themeColor="text1"/>
                <w:sz w:val="24"/>
              </w:rPr>
            </w:pPr>
            <w:r>
              <w:rPr>
                <w:rFonts w:hint="eastAsia" w:cs="仿宋_GB2312"/>
                <w:color w:val="000000" w:themeColor="text1"/>
                <w:kern w:val="0"/>
                <w:sz w:val="24"/>
              </w:rPr>
              <w:t>2,442.87</w:t>
            </w:r>
          </w:p>
        </w:tc>
      </w:tr>
      <w:tr>
        <w:tblPrEx>
          <w:tblCellMar>
            <w:top w:w="0" w:type="dxa"/>
            <w:left w:w="108" w:type="dxa"/>
            <w:bottom w:w="0" w:type="dxa"/>
            <w:right w:w="108" w:type="dxa"/>
          </w:tblCellMar>
        </w:tblPrEx>
        <w:trPr>
          <w:trHeight w:val="288" w:hRule="atLeast"/>
        </w:trPr>
        <w:tc>
          <w:tcPr>
            <w:tcW w:w="30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left"/>
              <w:textAlignment w:val="center"/>
              <w:rPr>
                <w:rFonts w:cs="仿宋_GB2312"/>
                <w:color w:val="000000" w:themeColor="text1"/>
                <w:sz w:val="24"/>
              </w:rPr>
            </w:pPr>
            <w:r>
              <w:rPr>
                <w:rFonts w:hint="eastAsia" w:cs="仿宋_GB2312"/>
                <w:color w:val="000000" w:themeColor="text1"/>
                <w:kern w:val="0"/>
                <w:sz w:val="24"/>
              </w:rPr>
              <w:t>教育支出</w:t>
            </w:r>
          </w:p>
        </w:tc>
        <w:tc>
          <w:tcPr>
            <w:tcW w:w="1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right"/>
              <w:textAlignment w:val="center"/>
              <w:rPr>
                <w:rFonts w:cs="仿宋_GB2312"/>
                <w:color w:val="000000" w:themeColor="text1"/>
                <w:sz w:val="24"/>
              </w:rPr>
            </w:pPr>
            <w:r>
              <w:rPr>
                <w:rFonts w:hint="eastAsia" w:cs="仿宋_GB2312"/>
                <w:color w:val="000000" w:themeColor="text1"/>
                <w:kern w:val="0"/>
                <w:sz w:val="24"/>
              </w:rPr>
              <w:t>175,143.55</w:t>
            </w:r>
          </w:p>
        </w:tc>
        <w:tc>
          <w:tcPr>
            <w:tcW w:w="1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right"/>
              <w:textAlignment w:val="center"/>
              <w:rPr>
                <w:rFonts w:hint="default" w:eastAsia="仿宋_GB2312" w:cs="仿宋_GB2312"/>
                <w:color w:val="000000" w:themeColor="text1"/>
                <w:sz w:val="24"/>
                <w:lang w:val="en-US" w:eastAsia="zh-CN"/>
              </w:rPr>
            </w:pPr>
            <w:r>
              <w:rPr>
                <w:rFonts w:hint="eastAsia" w:cs="仿宋_GB2312"/>
                <w:color w:val="000000" w:themeColor="text1"/>
                <w:kern w:val="0"/>
                <w:sz w:val="24"/>
              </w:rPr>
              <w:t>296,98</w:t>
            </w:r>
            <w:r>
              <w:rPr>
                <w:rFonts w:hint="eastAsia" w:cs="仿宋_GB2312"/>
                <w:color w:val="000000" w:themeColor="text1"/>
                <w:kern w:val="0"/>
                <w:sz w:val="24"/>
                <w:lang w:val="en-US" w:eastAsia="zh-CN"/>
              </w:rPr>
              <w:t>7.00</w:t>
            </w:r>
          </w:p>
        </w:tc>
        <w:tc>
          <w:tcPr>
            <w:tcW w:w="1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right"/>
              <w:textAlignment w:val="center"/>
              <w:rPr>
                <w:rFonts w:cs="仿宋_GB2312"/>
                <w:color w:val="000000" w:themeColor="text1"/>
                <w:sz w:val="24"/>
              </w:rPr>
            </w:pPr>
            <w:r>
              <w:rPr>
                <w:rFonts w:hint="eastAsia" w:cs="仿宋_GB2312"/>
                <w:color w:val="000000" w:themeColor="text1"/>
                <w:kern w:val="0"/>
                <w:sz w:val="24"/>
              </w:rPr>
              <w:t>121,842.55</w:t>
            </w:r>
          </w:p>
        </w:tc>
      </w:tr>
      <w:tr>
        <w:trPr>
          <w:trHeight w:val="288" w:hRule="atLeast"/>
        </w:trPr>
        <w:tc>
          <w:tcPr>
            <w:tcW w:w="30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left"/>
              <w:textAlignment w:val="center"/>
              <w:rPr>
                <w:rFonts w:cs="仿宋_GB2312"/>
                <w:color w:val="000000" w:themeColor="text1"/>
                <w:sz w:val="24"/>
              </w:rPr>
            </w:pPr>
            <w:r>
              <w:rPr>
                <w:rFonts w:hint="eastAsia" w:cs="仿宋_GB2312"/>
                <w:color w:val="000000" w:themeColor="text1"/>
                <w:kern w:val="0"/>
                <w:sz w:val="24"/>
              </w:rPr>
              <w:t>科学技术支出</w:t>
            </w:r>
          </w:p>
        </w:tc>
        <w:tc>
          <w:tcPr>
            <w:tcW w:w="1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right"/>
              <w:textAlignment w:val="center"/>
              <w:rPr>
                <w:rFonts w:cs="仿宋_GB2312"/>
                <w:color w:val="000000" w:themeColor="text1"/>
                <w:sz w:val="24"/>
              </w:rPr>
            </w:pPr>
            <w:r>
              <w:rPr>
                <w:rFonts w:hint="eastAsia" w:cs="仿宋_GB2312"/>
                <w:color w:val="000000" w:themeColor="text1"/>
                <w:kern w:val="0"/>
                <w:sz w:val="24"/>
              </w:rPr>
              <w:t>6,161.00</w:t>
            </w:r>
          </w:p>
        </w:tc>
        <w:tc>
          <w:tcPr>
            <w:tcW w:w="1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right"/>
              <w:textAlignment w:val="center"/>
              <w:rPr>
                <w:rFonts w:cs="仿宋_GB2312"/>
                <w:color w:val="000000" w:themeColor="text1"/>
                <w:sz w:val="24"/>
              </w:rPr>
            </w:pPr>
            <w:r>
              <w:rPr>
                <w:rFonts w:hint="eastAsia" w:cs="仿宋_GB2312"/>
                <w:color w:val="000000" w:themeColor="text1"/>
                <w:kern w:val="0"/>
                <w:sz w:val="24"/>
              </w:rPr>
              <w:t>39,513.13</w:t>
            </w:r>
          </w:p>
        </w:tc>
        <w:tc>
          <w:tcPr>
            <w:tcW w:w="1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right"/>
              <w:textAlignment w:val="center"/>
              <w:rPr>
                <w:rFonts w:cs="仿宋_GB2312"/>
                <w:color w:val="000000" w:themeColor="text1"/>
                <w:sz w:val="24"/>
              </w:rPr>
            </w:pPr>
            <w:r>
              <w:rPr>
                <w:rFonts w:hint="eastAsia" w:cs="仿宋_GB2312"/>
                <w:color w:val="000000" w:themeColor="text1"/>
                <w:kern w:val="0"/>
                <w:sz w:val="24"/>
              </w:rPr>
              <w:t>33,352.13</w:t>
            </w:r>
          </w:p>
        </w:tc>
      </w:tr>
      <w:tr>
        <w:tblPrEx>
          <w:tblCellMar>
            <w:top w:w="0" w:type="dxa"/>
            <w:left w:w="108" w:type="dxa"/>
            <w:bottom w:w="0" w:type="dxa"/>
            <w:right w:w="108" w:type="dxa"/>
          </w:tblCellMar>
        </w:tblPrEx>
        <w:trPr>
          <w:trHeight w:val="288" w:hRule="atLeast"/>
        </w:trPr>
        <w:tc>
          <w:tcPr>
            <w:tcW w:w="30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left"/>
              <w:textAlignment w:val="center"/>
              <w:rPr>
                <w:rFonts w:cs="仿宋_GB2312"/>
                <w:color w:val="000000" w:themeColor="text1"/>
                <w:sz w:val="24"/>
              </w:rPr>
            </w:pPr>
            <w:r>
              <w:rPr>
                <w:rFonts w:hint="eastAsia" w:cs="仿宋_GB2312"/>
                <w:color w:val="000000" w:themeColor="text1"/>
                <w:kern w:val="0"/>
                <w:sz w:val="24"/>
              </w:rPr>
              <w:t>社会保障和就业支出</w:t>
            </w:r>
          </w:p>
        </w:tc>
        <w:tc>
          <w:tcPr>
            <w:tcW w:w="1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right"/>
              <w:textAlignment w:val="center"/>
              <w:rPr>
                <w:rFonts w:cs="仿宋_GB2312"/>
                <w:color w:val="000000" w:themeColor="text1"/>
                <w:sz w:val="24"/>
              </w:rPr>
            </w:pPr>
            <w:r>
              <w:rPr>
                <w:rFonts w:hint="eastAsia" w:cs="仿宋_GB2312"/>
                <w:color w:val="000000" w:themeColor="text1"/>
                <w:kern w:val="0"/>
                <w:sz w:val="24"/>
              </w:rPr>
              <w:t>121,988.72</w:t>
            </w:r>
          </w:p>
        </w:tc>
        <w:tc>
          <w:tcPr>
            <w:tcW w:w="1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right"/>
              <w:textAlignment w:val="center"/>
              <w:rPr>
                <w:rFonts w:hint="default" w:eastAsia="仿宋_GB2312" w:cs="仿宋_GB2312"/>
                <w:color w:val="000000" w:themeColor="text1"/>
                <w:sz w:val="24"/>
                <w:lang w:val="en-US" w:eastAsia="zh-CN"/>
              </w:rPr>
            </w:pPr>
            <w:r>
              <w:rPr>
                <w:rFonts w:hint="eastAsia" w:cs="仿宋_GB2312"/>
                <w:color w:val="000000" w:themeColor="text1"/>
                <w:kern w:val="0"/>
                <w:sz w:val="24"/>
              </w:rPr>
              <w:t>506,54</w:t>
            </w:r>
            <w:r>
              <w:rPr>
                <w:rFonts w:hint="eastAsia" w:cs="仿宋_GB2312"/>
                <w:color w:val="000000" w:themeColor="text1"/>
                <w:kern w:val="0"/>
                <w:sz w:val="24"/>
                <w:lang w:val="en-US" w:eastAsia="zh-CN"/>
              </w:rPr>
              <w:t>7.40</w:t>
            </w:r>
          </w:p>
        </w:tc>
        <w:tc>
          <w:tcPr>
            <w:tcW w:w="1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right"/>
              <w:textAlignment w:val="center"/>
              <w:rPr>
                <w:rFonts w:cs="仿宋_GB2312"/>
                <w:color w:val="000000" w:themeColor="text1"/>
                <w:sz w:val="24"/>
              </w:rPr>
            </w:pPr>
            <w:r>
              <w:rPr>
                <w:rFonts w:hint="eastAsia" w:cs="仿宋_GB2312"/>
                <w:color w:val="000000" w:themeColor="text1"/>
                <w:kern w:val="0"/>
                <w:sz w:val="24"/>
              </w:rPr>
              <w:t>384,559.58</w:t>
            </w:r>
          </w:p>
        </w:tc>
      </w:tr>
      <w:tr>
        <w:trPr>
          <w:trHeight w:val="288" w:hRule="atLeast"/>
        </w:trPr>
        <w:tc>
          <w:tcPr>
            <w:tcW w:w="30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left"/>
              <w:textAlignment w:val="center"/>
              <w:rPr>
                <w:rFonts w:cs="仿宋_GB2312"/>
                <w:color w:val="000000" w:themeColor="text1"/>
                <w:sz w:val="24"/>
              </w:rPr>
            </w:pPr>
            <w:r>
              <w:rPr>
                <w:rFonts w:hint="eastAsia" w:cs="仿宋_GB2312"/>
                <w:color w:val="000000" w:themeColor="text1"/>
                <w:kern w:val="0"/>
                <w:sz w:val="24"/>
              </w:rPr>
              <w:t>卫生健康支出</w:t>
            </w:r>
          </w:p>
        </w:tc>
        <w:tc>
          <w:tcPr>
            <w:tcW w:w="1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right"/>
              <w:textAlignment w:val="center"/>
              <w:rPr>
                <w:rFonts w:cs="仿宋_GB2312"/>
                <w:color w:val="000000" w:themeColor="text1"/>
                <w:sz w:val="24"/>
              </w:rPr>
            </w:pPr>
            <w:r>
              <w:rPr>
                <w:rFonts w:hint="eastAsia" w:cs="仿宋_GB2312"/>
                <w:color w:val="000000" w:themeColor="text1"/>
                <w:kern w:val="0"/>
                <w:sz w:val="24"/>
              </w:rPr>
              <w:t>1.50</w:t>
            </w:r>
          </w:p>
        </w:tc>
        <w:tc>
          <w:tcPr>
            <w:tcW w:w="1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right"/>
              <w:textAlignment w:val="center"/>
              <w:rPr>
                <w:rFonts w:cs="仿宋_GB2312"/>
                <w:color w:val="000000" w:themeColor="text1"/>
                <w:sz w:val="24"/>
              </w:rPr>
            </w:pPr>
            <w:r>
              <w:rPr>
                <w:rFonts w:hint="eastAsia" w:cs="仿宋_GB2312"/>
                <w:color w:val="000000" w:themeColor="text1"/>
                <w:kern w:val="0"/>
                <w:sz w:val="24"/>
              </w:rPr>
              <w:t>378.41</w:t>
            </w:r>
          </w:p>
        </w:tc>
        <w:tc>
          <w:tcPr>
            <w:tcW w:w="1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right"/>
              <w:textAlignment w:val="center"/>
              <w:rPr>
                <w:rFonts w:cs="仿宋_GB2312"/>
                <w:color w:val="000000" w:themeColor="text1"/>
                <w:sz w:val="24"/>
              </w:rPr>
            </w:pPr>
            <w:r>
              <w:rPr>
                <w:rFonts w:hint="eastAsia" w:cs="仿宋_GB2312"/>
                <w:color w:val="000000" w:themeColor="text1"/>
                <w:kern w:val="0"/>
                <w:sz w:val="24"/>
              </w:rPr>
              <w:t>376.91</w:t>
            </w:r>
          </w:p>
        </w:tc>
      </w:tr>
      <w:tr>
        <w:tblPrEx>
          <w:tblCellMar>
            <w:top w:w="0" w:type="dxa"/>
            <w:left w:w="108" w:type="dxa"/>
            <w:bottom w:w="0" w:type="dxa"/>
            <w:right w:w="108" w:type="dxa"/>
          </w:tblCellMar>
        </w:tblPrEx>
        <w:trPr>
          <w:trHeight w:val="288" w:hRule="atLeast"/>
        </w:trPr>
        <w:tc>
          <w:tcPr>
            <w:tcW w:w="30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left"/>
              <w:textAlignment w:val="center"/>
              <w:rPr>
                <w:rFonts w:cs="仿宋_GB2312"/>
                <w:color w:val="000000" w:themeColor="text1"/>
                <w:sz w:val="24"/>
              </w:rPr>
            </w:pPr>
            <w:r>
              <w:rPr>
                <w:rFonts w:hint="eastAsia" w:cs="仿宋_GB2312"/>
                <w:color w:val="000000" w:themeColor="text1"/>
                <w:kern w:val="0"/>
                <w:sz w:val="24"/>
              </w:rPr>
              <w:t>城乡社区支出</w:t>
            </w:r>
          </w:p>
        </w:tc>
        <w:tc>
          <w:tcPr>
            <w:tcW w:w="1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right"/>
              <w:textAlignment w:val="center"/>
              <w:rPr>
                <w:rFonts w:cs="仿宋_GB2312"/>
                <w:color w:val="000000" w:themeColor="text1"/>
                <w:sz w:val="24"/>
              </w:rPr>
            </w:pPr>
            <w:r>
              <w:rPr>
                <w:rFonts w:hint="eastAsia" w:cs="仿宋_GB2312"/>
                <w:color w:val="000000" w:themeColor="text1"/>
                <w:kern w:val="0"/>
                <w:sz w:val="24"/>
              </w:rPr>
              <w:t>0</w:t>
            </w:r>
          </w:p>
        </w:tc>
        <w:tc>
          <w:tcPr>
            <w:tcW w:w="1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right"/>
              <w:textAlignment w:val="center"/>
              <w:rPr>
                <w:rFonts w:cs="仿宋_GB2312"/>
                <w:color w:val="000000" w:themeColor="text1"/>
                <w:sz w:val="24"/>
              </w:rPr>
            </w:pPr>
            <w:r>
              <w:rPr>
                <w:rFonts w:hint="eastAsia" w:cs="仿宋_GB2312"/>
                <w:color w:val="000000" w:themeColor="text1"/>
                <w:kern w:val="0"/>
                <w:sz w:val="24"/>
              </w:rPr>
              <w:t>64.53</w:t>
            </w:r>
          </w:p>
        </w:tc>
        <w:tc>
          <w:tcPr>
            <w:tcW w:w="1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right"/>
              <w:textAlignment w:val="center"/>
              <w:rPr>
                <w:rFonts w:cs="仿宋_GB2312"/>
                <w:color w:val="000000" w:themeColor="text1"/>
                <w:sz w:val="24"/>
              </w:rPr>
            </w:pPr>
            <w:r>
              <w:rPr>
                <w:rFonts w:hint="eastAsia" w:cs="仿宋_GB2312"/>
                <w:color w:val="000000" w:themeColor="text1"/>
                <w:kern w:val="0"/>
                <w:sz w:val="24"/>
              </w:rPr>
              <w:t>64.53</w:t>
            </w:r>
          </w:p>
        </w:tc>
      </w:tr>
      <w:tr>
        <w:trPr>
          <w:trHeight w:val="288" w:hRule="atLeast"/>
        </w:trPr>
        <w:tc>
          <w:tcPr>
            <w:tcW w:w="30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left"/>
              <w:textAlignment w:val="center"/>
              <w:rPr>
                <w:rFonts w:cs="仿宋_GB2312"/>
                <w:color w:val="000000" w:themeColor="text1"/>
                <w:sz w:val="24"/>
              </w:rPr>
            </w:pPr>
            <w:r>
              <w:rPr>
                <w:rFonts w:hint="eastAsia" w:cs="仿宋_GB2312"/>
                <w:color w:val="000000" w:themeColor="text1"/>
                <w:kern w:val="0"/>
                <w:sz w:val="24"/>
              </w:rPr>
              <w:t>国有资本经营预算支出</w:t>
            </w:r>
          </w:p>
        </w:tc>
        <w:tc>
          <w:tcPr>
            <w:tcW w:w="1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right"/>
              <w:textAlignment w:val="center"/>
              <w:rPr>
                <w:rFonts w:cs="仿宋_GB2312"/>
                <w:color w:val="000000" w:themeColor="text1"/>
                <w:sz w:val="24"/>
              </w:rPr>
            </w:pPr>
            <w:r>
              <w:rPr>
                <w:rFonts w:hint="eastAsia" w:cs="仿宋_GB2312"/>
                <w:color w:val="000000" w:themeColor="text1"/>
                <w:kern w:val="0"/>
                <w:sz w:val="24"/>
              </w:rPr>
              <w:t>0</w:t>
            </w:r>
          </w:p>
        </w:tc>
        <w:tc>
          <w:tcPr>
            <w:tcW w:w="1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right"/>
              <w:textAlignment w:val="center"/>
              <w:rPr>
                <w:rFonts w:cs="仿宋_GB2312"/>
                <w:color w:val="000000" w:themeColor="text1"/>
                <w:sz w:val="24"/>
              </w:rPr>
            </w:pPr>
            <w:r>
              <w:rPr>
                <w:rFonts w:hint="eastAsia" w:cs="仿宋_GB2312"/>
                <w:color w:val="000000" w:themeColor="text1"/>
                <w:kern w:val="0"/>
                <w:sz w:val="24"/>
              </w:rPr>
              <w:t>72.00</w:t>
            </w:r>
          </w:p>
        </w:tc>
        <w:tc>
          <w:tcPr>
            <w:tcW w:w="1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right"/>
              <w:textAlignment w:val="center"/>
              <w:rPr>
                <w:rFonts w:cs="仿宋_GB2312"/>
                <w:color w:val="000000" w:themeColor="text1"/>
                <w:sz w:val="24"/>
              </w:rPr>
            </w:pPr>
            <w:r>
              <w:rPr>
                <w:rFonts w:hint="eastAsia" w:cs="仿宋_GB2312"/>
                <w:color w:val="000000" w:themeColor="text1"/>
                <w:kern w:val="0"/>
                <w:sz w:val="24"/>
              </w:rPr>
              <w:t>72.00</w:t>
            </w:r>
          </w:p>
        </w:tc>
      </w:tr>
      <w:tr>
        <w:tblPrEx>
          <w:tblCellMar>
            <w:top w:w="0" w:type="dxa"/>
            <w:left w:w="108" w:type="dxa"/>
            <w:bottom w:w="0" w:type="dxa"/>
            <w:right w:w="108" w:type="dxa"/>
          </w:tblCellMar>
        </w:tblPrEx>
        <w:trPr>
          <w:trHeight w:val="288" w:hRule="atLeast"/>
        </w:trPr>
        <w:tc>
          <w:tcPr>
            <w:tcW w:w="30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left"/>
              <w:textAlignment w:val="center"/>
              <w:rPr>
                <w:rFonts w:cs="仿宋_GB2312"/>
                <w:color w:val="000000" w:themeColor="text1"/>
                <w:sz w:val="24"/>
              </w:rPr>
            </w:pPr>
            <w:r>
              <w:rPr>
                <w:rFonts w:hint="eastAsia" w:cs="仿宋_GB2312"/>
                <w:color w:val="000000" w:themeColor="text1"/>
                <w:kern w:val="0"/>
                <w:sz w:val="24"/>
              </w:rPr>
              <w:t>其他支出</w:t>
            </w:r>
          </w:p>
        </w:tc>
        <w:tc>
          <w:tcPr>
            <w:tcW w:w="1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right"/>
              <w:textAlignment w:val="center"/>
              <w:rPr>
                <w:rFonts w:cs="仿宋_GB2312"/>
                <w:color w:val="000000" w:themeColor="text1"/>
                <w:sz w:val="24"/>
              </w:rPr>
            </w:pPr>
            <w:r>
              <w:rPr>
                <w:rFonts w:hint="eastAsia" w:cs="仿宋_GB2312"/>
                <w:color w:val="000000" w:themeColor="text1"/>
                <w:kern w:val="0"/>
                <w:sz w:val="24"/>
              </w:rPr>
              <w:t>0</w:t>
            </w:r>
          </w:p>
        </w:tc>
        <w:tc>
          <w:tcPr>
            <w:tcW w:w="1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right"/>
              <w:textAlignment w:val="center"/>
              <w:rPr>
                <w:rFonts w:cs="仿宋_GB2312"/>
                <w:color w:val="000000" w:themeColor="text1"/>
                <w:sz w:val="24"/>
              </w:rPr>
            </w:pPr>
            <w:r>
              <w:rPr>
                <w:rFonts w:hint="eastAsia" w:cs="仿宋_GB2312"/>
                <w:color w:val="000000" w:themeColor="text1"/>
                <w:kern w:val="0"/>
                <w:sz w:val="24"/>
              </w:rPr>
              <w:t>13,000.00</w:t>
            </w:r>
          </w:p>
        </w:tc>
        <w:tc>
          <w:tcPr>
            <w:tcW w:w="1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right"/>
              <w:textAlignment w:val="center"/>
              <w:rPr>
                <w:rFonts w:cs="仿宋_GB2312"/>
                <w:color w:val="000000" w:themeColor="text1"/>
                <w:sz w:val="24"/>
              </w:rPr>
            </w:pPr>
            <w:r>
              <w:rPr>
                <w:rFonts w:hint="eastAsia" w:cs="仿宋_GB2312"/>
                <w:color w:val="000000" w:themeColor="text1"/>
                <w:kern w:val="0"/>
                <w:sz w:val="24"/>
              </w:rPr>
              <w:t>13.000.00</w:t>
            </w:r>
          </w:p>
        </w:tc>
      </w:tr>
      <w:tr>
        <w:trPr>
          <w:trHeight w:val="288" w:hRule="atLeast"/>
        </w:trPr>
        <w:tc>
          <w:tcPr>
            <w:tcW w:w="30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left"/>
              <w:textAlignment w:val="center"/>
              <w:rPr>
                <w:rFonts w:cs="仿宋_GB2312"/>
                <w:color w:val="000000" w:themeColor="text1"/>
                <w:sz w:val="24"/>
              </w:rPr>
            </w:pPr>
            <w:r>
              <w:rPr>
                <w:rFonts w:hint="eastAsia" w:cs="仿宋_GB2312"/>
                <w:color w:val="000000" w:themeColor="text1"/>
                <w:kern w:val="0"/>
                <w:sz w:val="24"/>
              </w:rPr>
              <w:t>本年支出合计</w:t>
            </w:r>
          </w:p>
        </w:tc>
        <w:tc>
          <w:tcPr>
            <w:tcW w:w="1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right"/>
              <w:textAlignment w:val="center"/>
              <w:rPr>
                <w:rFonts w:cs="仿宋_GB2312"/>
                <w:color w:val="000000" w:themeColor="text1"/>
                <w:sz w:val="24"/>
              </w:rPr>
            </w:pPr>
            <w:r>
              <w:rPr>
                <w:rFonts w:hint="eastAsia" w:cs="仿宋_GB2312"/>
                <w:color w:val="000000" w:themeColor="text1"/>
                <w:kern w:val="0"/>
                <w:sz w:val="24"/>
              </w:rPr>
              <w:t>304,221.77</w:t>
            </w:r>
          </w:p>
        </w:tc>
        <w:tc>
          <w:tcPr>
            <w:tcW w:w="1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right"/>
              <w:textAlignment w:val="center"/>
              <w:rPr>
                <w:rFonts w:cs="仿宋_GB2312"/>
                <w:color w:val="000000" w:themeColor="text1"/>
                <w:sz w:val="24"/>
              </w:rPr>
            </w:pPr>
            <w:r>
              <w:rPr>
                <w:rFonts w:hint="eastAsia" w:cs="仿宋_GB2312"/>
                <w:color w:val="000000" w:themeColor="text1"/>
                <w:kern w:val="0"/>
                <w:sz w:val="24"/>
              </w:rPr>
              <w:t>859932.34</w:t>
            </w:r>
          </w:p>
        </w:tc>
        <w:tc>
          <w:tcPr>
            <w:tcW w:w="1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ind w:firstLine="0" w:firstLineChars="0"/>
              <w:jc w:val="right"/>
              <w:textAlignment w:val="center"/>
              <w:rPr>
                <w:rFonts w:cs="仿宋_GB2312"/>
                <w:color w:val="000000" w:themeColor="text1"/>
                <w:sz w:val="24"/>
              </w:rPr>
            </w:pPr>
            <w:r>
              <w:rPr>
                <w:rFonts w:hint="eastAsia" w:cs="仿宋_GB2312"/>
                <w:color w:val="000000" w:themeColor="text1"/>
                <w:kern w:val="0"/>
                <w:sz w:val="24"/>
              </w:rPr>
              <w:t>555,710.50</w:t>
            </w:r>
          </w:p>
        </w:tc>
      </w:tr>
    </w:tbl>
    <w:p>
      <w:pPr>
        <w:widowControl/>
        <w:spacing w:line="240" w:lineRule="auto"/>
        <w:ind w:firstLine="0" w:firstLineChars="0"/>
        <w:rPr>
          <w:rFonts w:cs="Times New Roman"/>
          <w:color w:val="000000" w:themeColor="text1"/>
          <w:kern w:val="0"/>
          <w:sz w:val="31"/>
          <w:szCs w:val="31"/>
        </w:rPr>
      </w:pPr>
    </w:p>
    <w:p>
      <w:pPr>
        <w:pStyle w:val="2"/>
        <w:numPr>
          <w:ilvl w:val="0"/>
          <w:numId w:val="1"/>
        </w:numPr>
        <w:ind w:firstLine="640"/>
        <w:rPr>
          <w:color w:val="000000" w:themeColor="text1"/>
        </w:rPr>
      </w:pPr>
      <w:bookmarkStart w:id="11" w:name="_Toc23354"/>
      <w:r>
        <w:rPr>
          <w:rFonts w:hint="eastAsia"/>
          <w:color w:val="000000" w:themeColor="text1"/>
        </w:rPr>
        <w:t>绩效自评情况</w:t>
      </w:r>
      <w:bookmarkEnd w:id="11"/>
    </w:p>
    <w:p>
      <w:pPr>
        <w:pStyle w:val="3"/>
        <w:numPr>
          <w:ilvl w:val="0"/>
          <w:numId w:val="3"/>
        </w:numPr>
        <w:ind w:left="0" w:firstLine="640"/>
        <w:rPr>
          <w:color w:val="000000" w:themeColor="text1"/>
        </w:rPr>
      </w:pPr>
      <w:bookmarkStart w:id="12" w:name="_Toc25013"/>
      <w:r>
        <w:rPr>
          <w:rFonts w:hint="eastAsia"/>
          <w:color w:val="000000" w:themeColor="text1"/>
        </w:rPr>
        <w:t>自评结论</w:t>
      </w:r>
      <w:bookmarkEnd w:id="12"/>
      <w:r>
        <w:rPr>
          <w:rFonts w:hint="eastAsia"/>
          <w:color w:val="000000" w:themeColor="text1"/>
        </w:rPr>
        <w:t>。</w:t>
      </w:r>
    </w:p>
    <w:p>
      <w:pPr>
        <w:ind w:firstLine="640"/>
        <w:rPr>
          <w:color w:val="000000" w:themeColor="text1"/>
        </w:rPr>
      </w:pPr>
      <w:r>
        <w:rPr>
          <w:rFonts w:hint="eastAsia"/>
          <w:color w:val="000000" w:themeColor="text1"/>
        </w:rPr>
        <w:t>我厅</w:t>
      </w:r>
      <w:r>
        <w:rPr>
          <w:color w:val="000000" w:themeColor="text1"/>
        </w:rPr>
        <w:t>202</w:t>
      </w:r>
      <w:r>
        <w:rPr>
          <w:rFonts w:hint="eastAsia"/>
          <w:color w:val="000000" w:themeColor="text1"/>
        </w:rPr>
        <w:t>2</w:t>
      </w:r>
      <w:r>
        <w:rPr>
          <w:color w:val="000000" w:themeColor="text1"/>
        </w:rPr>
        <w:t>年度部门预算顺利完成了各项工作任务并实现了效益，整体得分情况良好，但</w:t>
      </w:r>
      <w:r>
        <w:rPr>
          <w:rFonts w:hint="eastAsia"/>
          <w:color w:val="000000" w:themeColor="text1"/>
        </w:rPr>
        <w:t>我厅</w:t>
      </w:r>
      <w:r>
        <w:rPr>
          <w:color w:val="000000" w:themeColor="text1"/>
        </w:rPr>
        <w:t>在绩效目标设置方面还存在不足</w:t>
      </w:r>
      <w:r>
        <w:rPr>
          <w:rFonts w:hint="eastAsia"/>
          <w:color w:val="000000" w:themeColor="text1"/>
        </w:rPr>
        <w:t>，我厅</w:t>
      </w:r>
      <w:r>
        <w:rPr>
          <w:color w:val="000000" w:themeColor="text1"/>
        </w:rPr>
        <w:t>202</w:t>
      </w:r>
      <w:r>
        <w:rPr>
          <w:rFonts w:hint="eastAsia"/>
          <w:color w:val="000000" w:themeColor="text1"/>
        </w:rPr>
        <w:t>2</w:t>
      </w:r>
      <w:r>
        <w:rPr>
          <w:color w:val="000000" w:themeColor="text1"/>
        </w:rPr>
        <w:t>年度部门整体支出绩效评价</w:t>
      </w:r>
      <w:r>
        <w:rPr>
          <w:rFonts w:hint="eastAsia"/>
          <w:color w:val="000000" w:themeColor="text1"/>
        </w:rPr>
        <w:t>自评</w:t>
      </w:r>
      <w:r>
        <w:rPr>
          <w:color w:val="000000" w:themeColor="text1"/>
        </w:rPr>
        <w:t>得分为</w:t>
      </w:r>
      <w:r>
        <w:rPr>
          <w:rFonts w:hint="eastAsia"/>
          <w:color w:val="000000" w:themeColor="text1"/>
        </w:rPr>
        <w:t>92.33</w:t>
      </w:r>
      <w:r>
        <w:rPr>
          <w:color w:val="000000" w:themeColor="text1"/>
        </w:rPr>
        <w:t>分，绩效等级为“优”</w:t>
      </w:r>
      <w:r>
        <w:rPr>
          <w:rFonts w:hint="eastAsia"/>
          <w:color w:val="000000" w:themeColor="text1"/>
        </w:rPr>
        <w:t>。</w:t>
      </w:r>
    </w:p>
    <w:p>
      <w:pPr>
        <w:pStyle w:val="3"/>
        <w:numPr>
          <w:ilvl w:val="0"/>
          <w:numId w:val="3"/>
        </w:numPr>
        <w:ind w:left="0" w:firstLine="640"/>
        <w:rPr>
          <w:color w:val="000000" w:themeColor="text1"/>
        </w:rPr>
      </w:pPr>
      <w:bookmarkStart w:id="13" w:name="_Toc65"/>
      <w:r>
        <w:rPr>
          <w:rFonts w:hint="eastAsia"/>
          <w:color w:val="000000" w:themeColor="text1"/>
        </w:rPr>
        <w:t>履职效能分析</w:t>
      </w:r>
      <w:bookmarkEnd w:id="13"/>
      <w:r>
        <w:rPr>
          <w:rFonts w:hint="eastAsia"/>
          <w:color w:val="000000" w:themeColor="text1"/>
        </w:rPr>
        <w:t>。</w:t>
      </w:r>
    </w:p>
    <w:p>
      <w:pPr>
        <w:numPr>
          <w:ilvl w:val="255"/>
          <w:numId w:val="0"/>
        </w:numPr>
        <w:ind w:firstLine="640" w:firstLineChars="200"/>
        <w:rPr>
          <w:color w:val="000000" w:themeColor="text1"/>
        </w:rPr>
      </w:pPr>
      <w:r>
        <w:rPr>
          <w:color w:val="000000" w:themeColor="text1"/>
        </w:rPr>
        <w:t>该指标下设“</w:t>
      </w:r>
      <w:r>
        <w:rPr>
          <w:rFonts w:hint="eastAsia"/>
          <w:color w:val="000000" w:themeColor="text1"/>
        </w:rPr>
        <w:t>整体效能”“专项效能”2</w:t>
      </w:r>
      <w:r>
        <w:rPr>
          <w:color w:val="000000" w:themeColor="text1"/>
        </w:rPr>
        <w:t>个</w:t>
      </w:r>
      <w:r>
        <w:rPr>
          <w:rFonts w:hint="eastAsia"/>
          <w:color w:val="000000" w:themeColor="text1"/>
        </w:rPr>
        <w:t>二</w:t>
      </w:r>
      <w:r>
        <w:rPr>
          <w:color w:val="000000" w:themeColor="text1"/>
        </w:rPr>
        <w:t>级指标。</w:t>
      </w:r>
      <w:r>
        <w:rPr>
          <w:rFonts w:hint="eastAsia"/>
          <w:color w:val="000000" w:themeColor="text1"/>
        </w:rPr>
        <w:t>该指标分值50分，自评得分47.49分，得分率94.98%。</w:t>
      </w:r>
    </w:p>
    <w:p>
      <w:pPr>
        <w:pStyle w:val="4"/>
        <w:ind w:firstLine="643"/>
        <w:rPr>
          <w:color w:val="000000" w:themeColor="text1"/>
        </w:rPr>
      </w:pPr>
      <w:bookmarkStart w:id="14" w:name="_Toc30424"/>
      <w:bookmarkStart w:id="15" w:name="_Toc9167"/>
      <w:r>
        <w:rPr>
          <w:rFonts w:hint="eastAsia"/>
          <w:color w:val="000000" w:themeColor="text1"/>
        </w:rPr>
        <w:t>1.整体效能</w:t>
      </w:r>
      <w:r>
        <w:rPr>
          <w:color w:val="000000" w:themeColor="text1"/>
        </w:rPr>
        <w:t>。</w:t>
      </w:r>
      <w:bookmarkEnd w:id="14"/>
    </w:p>
    <w:p>
      <w:pPr>
        <w:ind w:firstLine="640"/>
        <w:rPr>
          <w:color w:val="000000" w:themeColor="text1"/>
        </w:rPr>
      </w:pPr>
      <w:r>
        <w:rPr>
          <w:color w:val="000000" w:themeColor="text1"/>
        </w:rPr>
        <w:t>该指标下设“</w:t>
      </w:r>
      <w:r>
        <w:rPr>
          <w:rFonts w:hint="eastAsia"/>
          <w:color w:val="000000" w:themeColor="text1"/>
        </w:rPr>
        <w:t>部门整体绩效目标产出指标完成情况”“部门整体绩效目标效益指标完成情况”“部门预算资金支出率”3</w:t>
      </w:r>
      <w:r>
        <w:rPr>
          <w:color w:val="000000" w:themeColor="text1"/>
        </w:rPr>
        <w:t>个三级指标。</w:t>
      </w:r>
      <w:r>
        <w:rPr>
          <w:rFonts w:hint="eastAsia"/>
          <w:color w:val="000000" w:themeColor="text1"/>
        </w:rPr>
        <w:t>根据2022年部门整体支出绩效目标申报表，我厅基本完成2022年度工作任务，该指标分值25分，自评得分23.1分，得分率92.4%。</w:t>
      </w:r>
    </w:p>
    <w:p>
      <w:pPr>
        <w:ind w:firstLine="640"/>
        <w:rPr>
          <w:color w:val="000000" w:themeColor="text1"/>
        </w:rPr>
      </w:pPr>
      <w:r>
        <w:rPr>
          <w:color w:val="000000" w:themeColor="text1"/>
        </w:rPr>
        <w:t>（1）</w:t>
      </w:r>
      <w:r>
        <w:rPr>
          <w:rFonts w:hint="eastAsia"/>
          <w:color w:val="000000" w:themeColor="text1"/>
        </w:rPr>
        <w:t>部门整体绩效目标产出指标完成情况</w:t>
      </w:r>
      <w:r>
        <w:rPr>
          <w:color w:val="000000" w:themeColor="text1"/>
        </w:rPr>
        <w:t>。</w:t>
      </w:r>
    </w:p>
    <w:p>
      <w:pPr>
        <w:ind w:firstLine="640"/>
        <w:rPr>
          <w:color w:val="000000" w:themeColor="text1"/>
        </w:rPr>
      </w:pPr>
      <w:r>
        <w:rPr>
          <w:rFonts w:hint="eastAsia"/>
          <w:color w:val="000000" w:themeColor="text1"/>
        </w:rPr>
        <w:t>该项指标反映我厅在年度预算编报时确定的部门整体预算绩效目标中产出指标完成情况。我厅产出指标共设置31个，已完成</w:t>
      </w:r>
      <w:r>
        <w:rPr>
          <w:rFonts w:hint="eastAsia"/>
          <w:color w:val="000000" w:themeColor="text1"/>
          <w:lang w:val="en-US" w:eastAsia="zh-CN"/>
        </w:rPr>
        <w:t>31</w:t>
      </w:r>
      <w:r>
        <w:rPr>
          <w:rFonts w:hint="eastAsia"/>
          <w:color w:val="000000" w:themeColor="text1"/>
        </w:rPr>
        <w:t>个指标（其中实际完成率超150%的指标有</w:t>
      </w:r>
      <w:r>
        <w:rPr>
          <w:rFonts w:hint="eastAsia"/>
          <w:color w:val="000000" w:themeColor="text1"/>
          <w:lang w:val="en-US" w:eastAsia="zh-CN"/>
        </w:rPr>
        <w:t>3</w:t>
      </w:r>
      <w:r>
        <w:rPr>
          <w:rFonts w:hint="eastAsia"/>
          <w:color w:val="000000" w:themeColor="text1"/>
        </w:rPr>
        <w:t>个），</w:t>
      </w:r>
      <w:r>
        <w:rPr>
          <w:color w:val="000000" w:themeColor="text1"/>
        </w:rPr>
        <w:t>自评得</w:t>
      </w:r>
      <w:r>
        <w:rPr>
          <w:rFonts w:hint="eastAsia"/>
          <w:color w:val="000000" w:themeColor="text1"/>
        </w:rPr>
        <w:t>9.33</w:t>
      </w:r>
      <w:r>
        <w:rPr>
          <w:color w:val="000000" w:themeColor="text1"/>
        </w:rPr>
        <w:t>分，得分率</w:t>
      </w:r>
      <w:r>
        <w:rPr>
          <w:rFonts w:hint="eastAsia"/>
          <w:color w:val="000000" w:themeColor="text1"/>
        </w:rPr>
        <w:t>93.3</w:t>
      </w:r>
      <w:r>
        <w:rPr>
          <w:color w:val="000000" w:themeColor="text1"/>
        </w:rPr>
        <w:t>%。各项指标</w:t>
      </w:r>
      <w:r>
        <w:rPr>
          <w:rFonts w:hint="eastAsia"/>
          <w:color w:val="000000" w:themeColor="text1"/>
        </w:rPr>
        <w:t>完成</w:t>
      </w:r>
      <w:r>
        <w:rPr>
          <w:color w:val="000000" w:themeColor="text1"/>
        </w:rPr>
        <w:t>情况见表</w:t>
      </w:r>
      <w:r>
        <w:rPr>
          <w:rFonts w:hint="eastAsia"/>
          <w:color w:val="000000" w:themeColor="text1"/>
        </w:rPr>
        <w:t>2</w:t>
      </w:r>
      <w:r>
        <w:rPr>
          <w:color w:val="000000" w:themeColor="text1"/>
        </w:rPr>
        <w:t>-</w:t>
      </w:r>
      <w:r>
        <w:rPr>
          <w:rFonts w:hint="eastAsia"/>
          <w:color w:val="000000" w:themeColor="text1"/>
        </w:rPr>
        <w:t>1</w:t>
      </w:r>
      <w:r>
        <w:rPr>
          <w:color w:val="000000" w:themeColor="text1"/>
        </w:rPr>
        <w:t>。</w:t>
      </w:r>
    </w:p>
    <w:p>
      <w:pPr>
        <w:spacing w:line="360" w:lineRule="auto"/>
        <w:ind w:firstLine="560"/>
        <w:jc w:val="center"/>
        <w:rPr>
          <w:rFonts w:eastAsia="黑体" w:cs="黑体"/>
          <w:color w:val="000000" w:themeColor="text1"/>
          <w:sz w:val="28"/>
          <w:szCs w:val="36"/>
        </w:rPr>
      </w:pPr>
      <w:r>
        <w:rPr>
          <w:rFonts w:hint="eastAsia" w:eastAsia="黑体" w:cs="黑体"/>
          <w:color w:val="000000" w:themeColor="text1"/>
          <w:sz w:val="28"/>
          <w:szCs w:val="36"/>
        </w:rPr>
        <w:t>表2-1部门整体绩效目标产出指标完成情况</w:t>
      </w:r>
    </w:p>
    <w:tbl>
      <w:tblPr>
        <w:tblStyle w:val="17"/>
        <w:tblW w:w="5112" w:type="pct"/>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9"/>
        <w:gridCol w:w="4177"/>
        <w:gridCol w:w="1764"/>
        <w:gridCol w:w="1537"/>
        <w:gridCol w:w="12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blHeader/>
        </w:trPr>
        <w:tc>
          <w:tcPr>
            <w:tcW w:w="251" w:type="pct"/>
            <w:vAlign w:val="center"/>
          </w:tcPr>
          <w:p>
            <w:pPr>
              <w:widowControl/>
              <w:spacing w:line="240" w:lineRule="exact"/>
              <w:ind w:firstLine="0" w:firstLineChars="0"/>
              <w:jc w:val="center"/>
              <w:textAlignment w:val="center"/>
              <w:rPr>
                <w:rFonts w:cs="仿宋_GB2312"/>
                <w:b/>
                <w:bCs/>
                <w:color w:val="000000" w:themeColor="text1"/>
                <w:kern w:val="0"/>
                <w:sz w:val="24"/>
              </w:rPr>
            </w:pPr>
            <w:r>
              <w:rPr>
                <w:rFonts w:hint="eastAsia" w:cs="仿宋_GB2312"/>
                <w:b/>
                <w:bCs/>
                <w:color w:val="000000" w:themeColor="text1"/>
                <w:kern w:val="0"/>
                <w:sz w:val="24"/>
              </w:rPr>
              <w:t>序号</w:t>
            </w:r>
          </w:p>
        </w:tc>
        <w:tc>
          <w:tcPr>
            <w:tcW w:w="2282" w:type="pct"/>
            <w:vAlign w:val="center"/>
          </w:tcPr>
          <w:p>
            <w:pPr>
              <w:widowControl/>
              <w:spacing w:line="240" w:lineRule="exact"/>
              <w:ind w:firstLine="0" w:firstLineChars="0"/>
              <w:jc w:val="center"/>
              <w:textAlignment w:val="center"/>
              <w:rPr>
                <w:rFonts w:cs="仿宋_GB2312"/>
                <w:b/>
                <w:bCs/>
                <w:color w:val="000000" w:themeColor="text1"/>
                <w:kern w:val="0"/>
                <w:sz w:val="24"/>
                <w:szCs w:val="22"/>
              </w:rPr>
            </w:pPr>
            <w:r>
              <w:rPr>
                <w:rFonts w:hint="eastAsia" w:cs="仿宋_GB2312"/>
                <w:b/>
                <w:bCs/>
                <w:color w:val="000000" w:themeColor="text1"/>
                <w:kern w:val="0"/>
                <w:sz w:val="24"/>
              </w:rPr>
              <w:t>指标名称</w:t>
            </w:r>
          </w:p>
        </w:tc>
        <w:tc>
          <w:tcPr>
            <w:tcW w:w="963" w:type="pct"/>
            <w:vAlign w:val="center"/>
          </w:tcPr>
          <w:p>
            <w:pPr>
              <w:widowControl/>
              <w:spacing w:line="240" w:lineRule="exact"/>
              <w:ind w:firstLine="0" w:firstLineChars="0"/>
              <w:jc w:val="center"/>
              <w:textAlignment w:val="center"/>
              <w:rPr>
                <w:rFonts w:cs="仿宋_GB2312"/>
                <w:b/>
                <w:bCs/>
                <w:color w:val="000000" w:themeColor="text1"/>
                <w:kern w:val="0"/>
                <w:sz w:val="24"/>
                <w:szCs w:val="22"/>
              </w:rPr>
            </w:pPr>
            <w:r>
              <w:rPr>
                <w:rFonts w:hint="eastAsia" w:cs="仿宋_GB2312"/>
                <w:b/>
                <w:bCs/>
                <w:color w:val="000000" w:themeColor="text1"/>
                <w:kern w:val="0"/>
                <w:sz w:val="24"/>
              </w:rPr>
              <w:t>年度目标值</w:t>
            </w:r>
          </w:p>
        </w:tc>
        <w:tc>
          <w:tcPr>
            <w:tcW w:w="839" w:type="pct"/>
            <w:vAlign w:val="center"/>
          </w:tcPr>
          <w:p>
            <w:pPr>
              <w:widowControl/>
              <w:spacing w:line="240" w:lineRule="exact"/>
              <w:ind w:firstLine="0" w:firstLineChars="0"/>
              <w:jc w:val="center"/>
              <w:textAlignment w:val="center"/>
              <w:rPr>
                <w:rFonts w:cs="仿宋_GB2312"/>
                <w:b/>
                <w:bCs/>
                <w:color w:val="000000" w:themeColor="text1"/>
                <w:kern w:val="0"/>
                <w:sz w:val="24"/>
                <w:szCs w:val="22"/>
              </w:rPr>
            </w:pPr>
            <w:r>
              <w:rPr>
                <w:rFonts w:hint="eastAsia" w:cs="仿宋_GB2312"/>
                <w:b/>
                <w:bCs/>
                <w:color w:val="000000" w:themeColor="text1"/>
                <w:kern w:val="0"/>
                <w:sz w:val="24"/>
              </w:rPr>
              <w:t>年度实现值</w:t>
            </w:r>
          </w:p>
        </w:tc>
        <w:tc>
          <w:tcPr>
            <w:tcW w:w="662" w:type="pct"/>
            <w:vAlign w:val="center"/>
          </w:tcPr>
          <w:p>
            <w:pPr>
              <w:widowControl/>
              <w:spacing w:line="240" w:lineRule="exact"/>
              <w:ind w:firstLine="0" w:firstLineChars="0"/>
              <w:jc w:val="center"/>
              <w:textAlignment w:val="center"/>
              <w:rPr>
                <w:rFonts w:cs="仿宋_GB2312"/>
                <w:b/>
                <w:bCs/>
                <w:color w:val="000000" w:themeColor="text1"/>
                <w:kern w:val="0"/>
                <w:sz w:val="24"/>
              </w:rPr>
            </w:pPr>
            <w:r>
              <w:rPr>
                <w:rFonts w:hint="eastAsia" w:cs="仿宋_GB2312"/>
                <w:b/>
                <w:bCs/>
                <w:color w:val="000000" w:themeColor="text1"/>
                <w:kern w:val="0"/>
                <w:sz w:val="24"/>
              </w:rPr>
              <w:t>完成情况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251" w:type="pct"/>
            <w:vAlign w:val="center"/>
          </w:tcPr>
          <w:p>
            <w:pPr>
              <w:widowControl/>
              <w:spacing w:line="240" w:lineRule="exact"/>
              <w:ind w:firstLine="0" w:firstLineChars="0"/>
              <w:textAlignment w:val="center"/>
              <w:rPr>
                <w:rFonts w:cs="宋体"/>
                <w:color w:val="000000" w:themeColor="text1"/>
                <w:kern w:val="0"/>
                <w:sz w:val="24"/>
                <w:szCs w:val="18"/>
              </w:rPr>
            </w:pPr>
            <w:r>
              <w:rPr>
                <w:rFonts w:hint="eastAsia" w:cs="宋体"/>
                <w:color w:val="000000" w:themeColor="text1"/>
                <w:kern w:val="0"/>
                <w:sz w:val="24"/>
                <w:szCs w:val="18"/>
              </w:rPr>
              <w:t>1</w:t>
            </w:r>
          </w:p>
        </w:tc>
        <w:tc>
          <w:tcPr>
            <w:tcW w:w="2282" w:type="pct"/>
            <w:vAlign w:val="center"/>
          </w:tcPr>
          <w:p>
            <w:pPr>
              <w:widowControl/>
              <w:spacing w:line="240" w:lineRule="exact"/>
              <w:ind w:firstLine="0" w:firstLineChars="0"/>
              <w:textAlignment w:val="center"/>
              <w:rPr>
                <w:rFonts w:cs="Times New Roman"/>
                <w:color w:val="000000" w:themeColor="text1"/>
                <w:kern w:val="0"/>
                <w:sz w:val="24"/>
              </w:rPr>
            </w:pPr>
            <w:r>
              <w:rPr>
                <w:rFonts w:hint="eastAsia" w:cs="宋体"/>
                <w:color w:val="000000" w:themeColor="text1"/>
                <w:kern w:val="0"/>
                <w:sz w:val="24"/>
                <w:szCs w:val="18"/>
              </w:rPr>
              <w:t>参加城镇职工基本养老保险人数</w:t>
            </w:r>
          </w:p>
        </w:tc>
        <w:tc>
          <w:tcPr>
            <w:tcW w:w="963"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18"/>
              </w:rPr>
              <w:t>≥5000万人</w:t>
            </w:r>
          </w:p>
        </w:tc>
        <w:tc>
          <w:tcPr>
            <w:tcW w:w="839"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20"/>
              </w:rPr>
              <w:t>5229.2万人</w:t>
            </w:r>
          </w:p>
        </w:tc>
        <w:tc>
          <w:tcPr>
            <w:tcW w:w="662"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104.58%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51" w:type="pct"/>
            <w:vAlign w:val="center"/>
          </w:tcPr>
          <w:p>
            <w:pPr>
              <w:widowControl/>
              <w:spacing w:line="240" w:lineRule="exact"/>
              <w:ind w:firstLine="0" w:firstLineChars="0"/>
              <w:jc w:val="left"/>
              <w:textAlignment w:val="center"/>
              <w:rPr>
                <w:rFonts w:cs="宋体"/>
                <w:color w:val="000000" w:themeColor="text1"/>
                <w:kern w:val="0"/>
                <w:sz w:val="24"/>
                <w:szCs w:val="18"/>
              </w:rPr>
            </w:pPr>
            <w:r>
              <w:rPr>
                <w:rFonts w:hint="eastAsia" w:cs="宋体"/>
                <w:color w:val="000000" w:themeColor="text1"/>
                <w:kern w:val="0"/>
                <w:sz w:val="24"/>
                <w:szCs w:val="18"/>
              </w:rPr>
              <w:t>2</w:t>
            </w:r>
          </w:p>
        </w:tc>
        <w:tc>
          <w:tcPr>
            <w:tcW w:w="2282" w:type="pct"/>
            <w:vAlign w:val="center"/>
          </w:tcPr>
          <w:p>
            <w:pPr>
              <w:widowControl/>
              <w:spacing w:line="240" w:lineRule="exact"/>
              <w:ind w:firstLine="0" w:firstLineChars="0"/>
              <w:jc w:val="left"/>
              <w:textAlignment w:val="center"/>
              <w:rPr>
                <w:rFonts w:cs="Times New Roman"/>
                <w:color w:val="000000" w:themeColor="text1"/>
                <w:kern w:val="0"/>
                <w:sz w:val="24"/>
              </w:rPr>
            </w:pPr>
            <w:r>
              <w:rPr>
                <w:rFonts w:hint="eastAsia" w:cs="宋体"/>
                <w:color w:val="000000" w:themeColor="text1"/>
                <w:kern w:val="0"/>
                <w:sz w:val="24"/>
                <w:szCs w:val="18"/>
              </w:rPr>
              <w:t>城乡居民养老保险参保人数</w:t>
            </w:r>
          </w:p>
        </w:tc>
        <w:tc>
          <w:tcPr>
            <w:tcW w:w="963"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18"/>
              </w:rPr>
              <w:t>≥2560万人</w:t>
            </w:r>
          </w:p>
        </w:tc>
        <w:tc>
          <w:tcPr>
            <w:tcW w:w="839"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20"/>
              </w:rPr>
              <w:t>2764万人</w:t>
            </w:r>
          </w:p>
        </w:tc>
        <w:tc>
          <w:tcPr>
            <w:tcW w:w="662"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107.97%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0" w:hRule="atLeast"/>
        </w:trPr>
        <w:tc>
          <w:tcPr>
            <w:tcW w:w="251" w:type="pct"/>
            <w:vAlign w:val="center"/>
          </w:tcPr>
          <w:p>
            <w:pPr>
              <w:widowControl/>
              <w:spacing w:line="240" w:lineRule="exact"/>
              <w:ind w:firstLine="0" w:firstLineChars="0"/>
              <w:textAlignment w:val="center"/>
              <w:rPr>
                <w:rFonts w:cs="宋体"/>
                <w:color w:val="000000" w:themeColor="text1"/>
                <w:kern w:val="0"/>
                <w:sz w:val="24"/>
                <w:szCs w:val="18"/>
              </w:rPr>
            </w:pPr>
            <w:r>
              <w:rPr>
                <w:rFonts w:hint="eastAsia" w:cs="宋体"/>
                <w:color w:val="000000" w:themeColor="text1"/>
                <w:kern w:val="0"/>
                <w:sz w:val="24"/>
                <w:szCs w:val="18"/>
              </w:rPr>
              <w:t>3</w:t>
            </w:r>
          </w:p>
        </w:tc>
        <w:tc>
          <w:tcPr>
            <w:tcW w:w="2282" w:type="pct"/>
            <w:vAlign w:val="center"/>
          </w:tcPr>
          <w:p>
            <w:pPr>
              <w:widowControl/>
              <w:spacing w:line="240" w:lineRule="exact"/>
              <w:ind w:firstLine="0" w:firstLineChars="0"/>
              <w:textAlignment w:val="center"/>
              <w:rPr>
                <w:rFonts w:cs="Times New Roman"/>
                <w:color w:val="000000" w:themeColor="text1"/>
                <w:kern w:val="0"/>
                <w:sz w:val="24"/>
              </w:rPr>
            </w:pPr>
            <w:r>
              <w:rPr>
                <w:rFonts w:hint="eastAsia" w:cs="宋体"/>
                <w:color w:val="000000" w:themeColor="text1"/>
                <w:kern w:val="0"/>
                <w:sz w:val="24"/>
                <w:szCs w:val="18"/>
              </w:rPr>
              <w:t>工伤保险参保人数</w:t>
            </w:r>
          </w:p>
        </w:tc>
        <w:tc>
          <w:tcPr>
            <w:tcW w:w="963"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18"/>
              </w:rPr>
              <w:t>≥3880万人</w:t>
            </w:r>
          </w:p>
        </w:tc>
        <w:tc>
          <w:tcPr>
            <w:tcW w:w="839"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20"/>
              </w:rPr>
              <w:t>4083.39万人</w:t>
            </w:r>
          </w:p>
        </w:tc>
        <w:tc>
          <w:tcPr>
            <w:tcW w:w="662"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105.24%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251" w:type="pct"/>
            <w:vAlign w:val="center"/>
          </w:tcPr>
          <w:p>
            <w:pPr>
              <w:widowControl/>
              <w:spacing w:line="240" w:lineRule="exact"/>
              <w:ind w:firstLine="0" w:firstLineChars="0"/>
              <w:textAlignment w:val="center"/>
              <w:rPr>
                <w:rFonts w:cs="宋体"/>
                <w:color w:val="000000" w:themeColor="text1"/>
                <w:kern w:val="0"/>
                <w:sz w:val="24"/>
                <w:szCs w:val="18"/>
              </w:rPr>
            </w:pPr>
            <w:r>
              <w:rPr>
                <w:rFonts w:hint="eastAsia" w:cs="宋体"/>
                <w:color w:val="000000" w:themeColor="text1"/>
                <w:kern w:val="0"/>
                <w:sz w:val="24"/>
                <w:szCs w:val="18"/>
              </w:rPr>
              <w:t>4</w:t>
            </w:r>
          </w:p>
        </w:tc>
        <w:tc>
          <w:tcPr>
            <w:tcW w:w="2282" w:type="pct"/>
            <w:vAlign w:val="center"/>
          </w:tcPr>
          <w:p>
            <w:pPr>
              <w:widowControl/>
              <w:spacing w:line="240" w:lineRule="exact"/>
              <w:ind w:firstLine="0" w:firstLineChars="0"/>
              <w:textAlignment w:val="center"/>
              <w:rPr>
                <w:rFonts w:cs="Times New Roman"/>
                <w:color w:val="000000" w:themeColor="text1"/>
                <w:kern w:val="0"/>
                <w:sz w:val="24"/>
              </w:rPr>
            </w:pPr>
            <w:r>
              <w:rPr>
                <w:rFonts w:hint="eastAsia" w:cs="宋体"/>
                <w:color w:val="000000" w:themeColor="text1"/>
                <w:kern w:val="0"/>
                <w:sz w:val="24"/>
                <w:szCs w:val="18"/>
              </w:rPr>
              <w:t>失业保险参保人数</w:t>
            </w:r>
          </w:p>
        </w:tc>
        <w:tc>
          <w:tcPr>
            <w:tcW w:w="963"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18"/>
              </w:rPr>
              <w:t>≥3720万人</w:t>
            </w:r>
          </w:p>
        </w:tc>
        <w:tc>
          <w:tcPr>
            <w:tcW w:w="839"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20"/>
              </w:rPr>
              <w:t>3751.12万人</w:t>
            </w:r>
          </w:p>
        </w:tc>
        <w:tc>
          <w:tcPr>
            <w:tcW w:w="662"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100.84%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251" w:type="pct"/>
            <w:vAlign w:val="center"/>
          </w:tcPr>
          <w:p>
            <w:pPr>
              <w:widowControl/>
              <w:spacing w:line="240" w:lineRule="exact"/>
              <w:ind w:firstLine="0" w:firstLineChars="0"/>
              <w:jc w:val="left"/>
              <w:textAlignment w:val="center"/>
              <w:rPr>
                <w:rFonts w:cs="宋体"/>
                <w:color w:val="000000" w:themeColor="text1"/>
                <w:kern w:val="0"/>
                <w:sz w:val="24"/>
                <w:szCs w:val="18"/>
              </w:rPr>
            </w:pPr>
            <w:r>
              <w:rPr>
                <w:rFonts w:hint="eastAsia" w:cs="宋体"/>
                <w:color w:val="000000" w:themeColor="text1"/>
                <w:kern w:val="0"/>
                <w:sz w:val="24"/>
                <w:szCs w:val="18"/>
              </w:rPr>
              <w:t>5</w:t>
            </w:r>
          </w:p>
        </w:tc>
        <w:tc>
          <w:tcPr>
            <w:tcW w:w="2282" w:type="pct"/>
            <w:vAlign w:val="center"/>
          </w:tcPr>
          <w:p>
            <w:pPr>
              <w:widowControl/>
              <w:spacing w:line="240" w:lineRule="exact"/>
              <w:ind w:firstLine="0" w:firstLineChars="0"/>
              <w:jc w:val="left"/>
              <w:textAlignment w:val="center"/>
              <w:rPr>
                <w:rFonts w:cs="Times New Roman"/>
                <w:color w:val="000000" w:themeColor="text1"/>
                <w:kern w:val="0"/>
                <w:sz w:val="24"/>
              </w:rPr>
            </w:pPr>
            <w:r>
              <w:rPr>
                <w:rFonts w:hint="eastAsia" w:cs="宋体"/>
                <w:color w:val="000000" w:themeColor="text1"/>
                <w:kern w:val="0"/>
                <w:sz w:val="24"/>
                <w:szCs w:val="18"/>
              </w:rPr>
              <w:t>扶持建设“粤菜师傅”培养示范基地（个）</w:t>
            </w:r>
          </w:p>
        </w:tc>
        <w:tc>
          <w:tcPr>
            <w:tcW w:w="963"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18"/>
              </w:rPr>
              <w:t>5个</w:t>
            </w:r>
          </w:p>
        </w:tc>
        <w:tc>
          <w:tcPr>
            <w:tcW w:w="839"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20"/>
              </w:rPr>
              <w:t>6个</w:t>
            </w:r>
          </w:p>
        </w:tc>
        <w:tc>
          <w:tcPr>
            <w:tcW w:w="662"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251" w:type="pct"/>
            <w:vAlign w:val="center"/>
          </w:tcPr>
          <w:p>
            <w:pPr>
              <w:widowControl/>
              <w:spacing w:line="240" w:lineRule="exact"/>
              <w:ind w:firstLine="0" w:firstLineChars="0"/>
              <w:textAlignment w:val="center"/>
              <w:rPr>
                <w:rFonts w:cs="宋体"/>
                <w:color w:val="000000" w:themeColor="text1"/>
                <w:kern w:val="0"/>
                <w:sz w:val="24"/>
                <w:szCs w:val="18"/>
              </w:rPr>
            </w:pPr>
            <w:r>
              <w:rPr>
                <w:rFonts w:hint="eastAsia" w:cs="宋体"/>
                <w:color w:val="000000" w:themeColor="text1"/>
                <w:kern w:val="0"/>
                <w:sz w:val="24"/>
                <w:szCs w:val="18"/>
              </w:rPr>
              <w:t>6</w:t>
            </w:r>
          </w:p>
        </w:tc>
        <w:tc>
          <w:tcPr>
            <w:tcW w:w="2282" w:type="pct"/>
            <w:vAlign w:val="center"/>
          </w:tcPr>
          <w:p>
            <w:pPr>
              <w:widowControl/>
              <w:spacing w:line="240" w:lineRule="exact"/>
              <w:ind w:firstLine="0" w:firstLineChars="0"/>
              <w:textAlignment w:val="center"/>
              <w:rPr>
                <w:rFonts w:cs="Times New Roman"/>
                <w:color w:val="000000" w:themeColor="text1"/>
                <w:kern w:val="0"/>
                <w:sz w:val="24"/>
              </w:rPr>
            </w:pPr>
            <w:r>
              <w:rPr>
                <w:rFonts w:hint="eastAsia" w:cs="宋体"/>
                <w:color w:val="000000" w:themeColor="text1"/>
                <w:kern w:val="0"/>
                <w:sz w:val="24"/>
                <w:szCs w:val="18"/>
              </w:rPr>
              <w:t>补助世赛集训项目个数</w:t>
            </w:r>
          </w:p>
        </w:tc>
        <w:tc>
          <w:tcPr>
            <w:tcW w:w="963"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18"/>
              </w:rPr>
              <w:t>35个</w:t>
            </w:r>
          </w:p>
        </w:tc>
        <w:tc>
          <w:tcPr>
            <w:tcW w:w="839"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20"/>
              </w:rPr>
              <w:t>38</w:t>
            </w:r>
          </w:p>
        </w:tc>
        <w:tc>
          <w:tcPr>
            <w:tcW w:w="662"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108.57%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7" w:hRule="atLeast"/>
        </w:trPr>
        <w:tc>
          <w:tcPr>
            <w:tcW w:w="251" w:type="pct"/>
            <w:vAlign w:val="center"/>
          </w:tcPr>
          <w:p>
            <w:pPr>
              <w:widowControl/>
              <w:spacing w:line="240" w:lineRule="exact"/>
              <w:ind w:firstLine="0" w:firstLineChars="0"/>
              <w:textAlignment w:val="center"/>
              <w:rPr>
                <w:rFonts w:cs="宋体"/>
                <w:color w:val="000000" w:themeColor="text1"/>
                <w:kern w:val="0"/>
                <w:sz w:val="24"/>
                <w:szCs w:val="18"/>
              </w:rPr>
            </w:pPr>
            <w:r>
              <w:rPr>
                <w:rFonts w:hint="eastAsia" w:cs="宋体"/>
                <w:color w:val="000000" w:themeColor="text1"/>
                <w:kern w:val="0"/>
                <w:sz w:val="24"/>
                <w:szCs w:val="18"/>
              </w:rPr>
              <w:t>7</w:t>
            </w:r>
          </w:p>
        </w:tc>
        <w:tc>
          <w:tcPr>
            <w:tcW w:w="2282" w:type="pct"/>
            <w:vAlign w:val="center"/>
          </w:tcPr>
          <w:p>
            <w:pPr>
              <w:widowControl/>
              <w:spacing w:line="240" w:lineRule="exact"/>
              <w:ind w:firstLine="0" w:firstLineChars="0"/>
              <w:textAlignment w:val="center"/>
              <w:rPr>
                <w:rFonts w:cs="Times New Roman"/>
                <w:color w:val="000000" w:themeColor="text1"/>
                <w:kern w:val="0"/>
                <w:sz w:val="24"/>
              </w:rPr>
            </w:pPr>
            <w:r>
              <w:rPr>
                <w:rFonts w:hint="eastAsia" w:cs="宋体"/>
                <w:color w:val="000000" w:themeColor="text1"/>
                <w:kern w:val="0"/>
                <w:sz w:val="24"/>
                <w:szCs w:val="18"/>
              </w:rPr>
              <w:t>“三支一扶”招募派遣计划人数</w:t>
            </w:r>
          </w:p>
        </w:tc>
        <w:tc>
          <w:tcPr>
            <w:tcW w:w="963"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18"/>
              </w:rPr>
              <w:t>3000人</w:t>
            </w:r>
          </w:p>
        </w:tc>
        <w:tc>
          <w:tcPr>
            <w:tcW w:w="839" w:type="pct"/>
            <w:vAlign w:val="center"/>
          </w:tcPr>
          <w:p>
            <w:pPr>
              <w:widowControl/>
              <w:spacing w:line="240" w:lineRule="exact"/>
              <w:ind w:firstLine="0" w:firstLineChars="0"/>
              <w:jc w:val="center"/>
              <w:textAlignment w:val="center"/>
              <w:rPr>
                <w:rFonts w:cs="Times New Roman"/>
                <w:color w:val="000000" w:themeColor="text1"/>
                <w:kern w:val="0"/>
                <w:sz w:val="24"/>
                <w:highlight w:val="yellow"/>
              </w:rPr>
            </w:pPr>
            <w:r>
              <w:rPr>
                <w:rFonts w:hint="eastAsia" w:cs="宋体"/>
                <w:color w:val="000000" w:themeColor="text1"/>
                <w:kern w:val="0"/>
                <w:sz w:val="24"/>
                <w:szCs w:val="20"/>
              </w:rPr>
              <w:t>3279人</w:t>
            </w:r>
          </w:p>
        </w:tc>
        <w:tc>
          <w:tcPr>
            <w:tcW w:w="662"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109.3%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251" w:type="pct"/>
            <w:vAlign w:val="center"/>
          </w:tcPr>
          <w:p>
            <w:pPr>
              <w:widowControl/>
              <w:spacing w:line="240" w:lineRule="exact"/>
              <w:ind w:firstLine="0" w:firstLineChars="0"/>
              <w:jc w:val="left"/>
              <w:textAlignment w:val="center"/>
              <w:rPr>
                <w:rFonts w:cs="宋体"/>
                <w:color w:val="000000" w:themeColor="text1"/>
                <w:kern w:val="0"/>
                <w:sz w:val="24"/>
                <w:szCs w:val="18"/>
              </w:rPr>
            </w:pPr>
            <w:r>
              <w:rPr>
                <w:rFonts w:hint="eastAsia" w:cs="宋体"/>
                <w:color w:val="000000" w:themeColor="text1"/>
                <w:kern w:val="0"/>
                <w:sz w:val="24"/>
                <w:szCs w:val="18"/>
              </w:rPr>
              <w:t>8</w:t>
            </w:r>
          </w:p>
        </w:tc>
        <w:tc>
          <w:tcPr>
            <w:tcW w:w="2282" w:type="pct"/>
            <w:vAlign w:val="center"/>
          </w:tcPr>
          <w:p>
            <w:pPr>
              <w:widowControl/>
              <w:spacing w:line="240" w:lineRule="exact"/>
              <w:ind w:firstLine="0" w:firstLineChars="0"/>
              <w:jc w:val="left"/>
              <w:textAlignment w:val="center"/>
              <w:rPr>
                <w:rFonts w:cs="Times New Roman"/>
                <w:color w:val="000000" w:themeColor="text1"/>
                <w:kern w:val="0"/>
                <w:sz w:val="24"/>
              </w:rPr>
            </w:pPr>
            <w:r>
              <w:rPr>
                <w:rFonts w:hint="eastAsia" w:cs="宋体"/>
                <w:color w:val="000000" w:themeColor="text1"/>
                <w:kern w:val="0"/>
                <w:sz w:val="24"/>
                <w:szCs w:val="18"/>
              </w:rPr>
              <w:t>粤东西北地区博士</w:t>
            </w:r>
            <w:r>
              <w:rPr>
                <w:rFonts w:hint="eastAsia" w:cs="宋体"/>
                <w:color w:val="000000" w:themeColor="text1"/>
                <w:kern w:val="0"/>
                <w:sz w:val="24"/>
                <w:szCs w:val="18"/>
                <w:lang w:eastAsia="zh-CN"/>
              </w:rPr>
              <w:t>工作站</w:t>
            </w:r>
            <w:r>
              <w:rPr>
                <w:rFonts w:hint="eastAsia" w:cs="宋体"/>
                <w:color w:val="000000" w:themeColor="text1"/>
                <w:kern w:val="0"/>
                <w:sz w:val="24"/>
                <w:szCs w:val="18"/>
              </w:rPr>
              <w:t>享受补贴设站数量</w:t>
            </w:r>
          </w:p>
        </w:tc>
        <w:tc>
          <w:tcPr>
            <w:tcW w:w="963"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18"/>
              </w:rPr>
              <w:t>100个</w:t>
            </w:r>
          </w:p>
        </w:tc>
        <w:tc>
          <w:tcPr>
            <w:tcW w:w="839"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20"/>
                <w:lang w:val="en-US" w:eastAsia="zh-CN"/>
              </w:rPr>
              <w:t>100</w:t>
            </w:r>
            <w:r>
              <w:rPr>
                <w:rFonts w:hint="eastAsia" w:cs="宋体"/>
                <w:color w:val="000000" w:themeColor="text1"/>
                <w:kern w:val="0"/>
                <w:sz w:val="24"/>
                <w:szCs w:val="20"/>
              </w:rPr>
              <w:t>个</w:t>
            </w:r>
          </w:p>
        </w:tc>
        <w:tc>
          <w:tcPr>
            <w:tcW w:w="662"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lang w:val="en-US" w:eastAsia="zh-CN"/>
              </w:rPr>
              <w:t>100</w:t>
            </w:r>
            <w:r>
              <w:rPr>
                <w:rFonts w:hint="eastAsia" w:cs="Times New Roman"/>
                <w:color w:val="000000" w:themeColor="text1"/>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251" w:type="pct"/>
            <w:vAlign w:val="center"/>
          </w:tcPr>
          <w:p>
            <w:pPr>
              <w:widowControl/>
              <w:spacing w:line="240" w:lineRule="exact"/>
              <w:ind w:firstLine="0" w:firstLineChars="0"/>
              <w:jc w:val="left"/>
              <w:textAlignment w:val="center"/>
              <w:rPr>
                <w:rFonts w:cs="宋体"/>
                <w:color w:val="000000" w:themeColor="text1"/>
                <w:kern w:val="0"/>
                <w:sz w:val="24"/>
                <w:szCs w:val="18"/>
              </w:rPr>
            </w:pPr>
            <w:r>
              <w:rPr>
                <w:rFonts w:hint="eastAsia" w:cs="宋体"/>
                <w:color w:val="000000" w:themeColor="text1"/>
                <w:kern w:val="0"/>
                <w:sz w:val="24"/>
                <w:szCs w:val="18"/>
              </w:rPr>
              <w:t>9</w:t>
            </w:r>
          </w:p>
        </w:tc>
        <w:tc>
          <w:tcPr>
            <w:tcW w:w="2282" w:type="pct"/>
            <w:vAlign w:val="center"/>
          </w:tcPr>
          <w:p>
            <w:pPr>
              <w:widowControl/>
              <w:spacing w:line="240" w:lineRule="exact"/>
              <w:ind w:firstLine="0" w:firstLineChars="0"/>
              <w:jc w:val="left"/>
              <w:textAlignment w:val="center"/>
              <w:rPr>
                <w:rFonts w:cs="Times New Roman"/>
                <w:color w:val="000000" w:themeColor="text1"/>
                <w:kern w:val="0"/>
                <w:sz w:val="24"/>
              </w:rPr>
            </w:pPr>
            <w:r>
              <w:rPr>
                <w:rFonts w:hint="eastAsia" w:cs="宋体"/>
                <w:color w:val="000000" w:themeColor="text1"/>
                <w:kern w:val="0"/>
                <w:sz w:val="24"/>
                <w:szCs w:val="18"/>
              </w:rPr>
              <w:t>全省在站博士后享受补贴人数</w:t>
            </w:r>
          </w:p>
        </w:tc>
        <w:tc>
          <w:tcPr>
            <w:tcW w:w="963"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18"/>
              </w:rPr>
              <w:t>≥5000人</w:t>
            </w:r>
          </w:p>
        </w:tc>
        <w:tc>
          <w:tcPr>
            <w:tcW w:w="839"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20"/>
              </w:rPr>
              <w:t>5720人</w:t>
            </w:r>
          </w:p>
        </w:tc>
        <w:tc>
          <w:tcPr>
            <w:tcW w:w="662"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114.4%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251" w:type="pct"/>
            <w:vAlign w:val="center"/>
          </w:tcPr>
          <w:p>
            <w:pPr>
              <w:widowControl/>
              <w:spacing w:line="240" w:lineRule="exact"/>
              <w:ind w:firstLine="0" w:firstLineChars="0"/>
              <w:jc w:val="left"/>
              <w:textAlignment w:val="center"/>
              <w:rPr>
                <w:rFonts w:cs="宋体"/>
                <w:color w:val="000000" w:themeColor="text1"/>
                <w:kern w:val="0"/>
                <w:sz w:val="24"/>
                <w:szCs w:val="18"/>
              </w:rPr>
            </w:pPr>
            <w:r>
              <w:rPr>
                <w:rFonts w:hint="eastAsia" w:cs="宋体"/>
                <w:color w:val="000000" w:themeColor="text1"/>
                <w:kern w:val="0"/>
                <w:sz w:val="24"/>
                <w:szCs w:val="18"/>
              </w:rPr>
              <w:t>10</w:t>
            </w:r>
          </w:p>
        </w:tc>
        <w:tc>
          <w:tcPr>
            <w:tcW w:w="2282" w:type="pct"/>
            <w:vAlign w:val="center"/>
          </w:tcPr>
          <w:p>
            <w:pPr>
              <w:widowControl/>
              <w:spacing w:line="240" w:lineRule="exact"/>
              <w:ind w:firstLine="0" w:firstLineChars="0"/>
              <w:jc w:val="left"/>
              <w:textAlignment w:val="center"/>
              <w:rPr>
                <w:rFonts w:cs="Times New Roman"/>
                <w:color w:val="000000" w:themeColor="text1"/>
                <w:kern w:val="0"/>
                <w:sz w:val="24"/>
              </w:rPr>
            </w:pPr>
            <w:r>
              <w:rPr>
                <w:rFonts w:hint="eastAsia" w:cs="宋体"/>
                <w:color w:val="000000" w:themeColor="text1"/>
                <w:kern w:val="0"/>
                <w:sz w:val="24"/>
                <w:szCs w:val="18"/>
              </w:rPr>
              <w:t>就业困难人员就业</w:t>
            </w:r>
          </w:p>
        </w:tc>
        <w:tc>
          <w:tcPr>
            <w:tcW w:w="963" w:type="pct"/>
            <w:vAlign w:val="center"/>
          </w:tcPr>
          <w:p>
            <w:pPr>
              <w:widowControl/>
              <w:spacing w:line="240" w:lineRule="exact"/>
              <w:ind w:firstLine="0" w:firstLineChars="0"/>
              <w:jc w:val="center"/>
              <w:textAlignment w:val="center"/>
              <w:rPr>
                <w:rFonts w:cs="宋体"/>
                <w:color w:val="000000" w:themeColor="text1"/>
                <w:kern w:val="0"/>
                <w:sz w:val="24"/>
                <w:szCs w:val="18"/>
              </w:rPr>
            </w:pPr>
            <w:r>
              <w:rPr>
                <w:rFonts w:hint="eastAsia" w:cs="宋体"/>
                <w:color w:val="000000" w:themeColor="text1"/>
                <w:kern w:val="0"/>
                <w:sz w:val="24"/>
                <w:szCs w:val="18"/>
              </w:rPr>
              <w:t>8万人</w:t>
            </w:r>
          </w:p>
        </w:tc>
        <w:tc>
          <w:tcPr>
            <w:tcW w:w="839" w:type="pct"/>
            <w:vAlign w:val="center"/>
          </w:tcPr>
          <w:p>
            <w:pPr>
              <w:widowControl/>
              <w:spacing w:line="240" w:lineRule="exact"/>
              <w:ind w:firstLine="0" w:firstLineChars="0"/>
              <w:jc w:val="center"/>
              <w:textAlignment w:val="center"/>
              <w:rPr>
                <w:rFonts w:cs="宋体"/>
                <w:color w:val="000000" w:themeColor="text1"/>
                <w:kern w:val="0"/>
                <w:sz w:val="24"/>
                <w:szCs w:val="18"/>
              </w:rPr>
            </w:pPr>
            <w:r>
              <w:rPr>
                <w:rFonts w:hint="eastAsia" w:cs="宋体"/>
                <w:color w:val="000000" w:themeColor="text1"/>
                <w:kern w:val="0"/>
                <w:sz w:val="24"/>
                <w:szCs w:val="18"/>
              </w:rPr>
              <w:t>10.51万人</w:t>
            </w:r>
          </w:p>
        </w:tc>
        <w:tc>
          <w:tcPr>
            <w:tcW w:w="662"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131.4%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9" w:hRule="atLeast"/>
        </w:trPr>
        <w:tc>
          <w:tcPr>
            <w:tcW w:w="251" w:type="pct"/>
            <w:vAlign w:val="center"/>
          </w:tcPr>
          <w:p>
            <w:pPr>
              <w:widowControl/>
              <w:spacing w:line="240" w:lineRule="exact"/>
              <w:ind w:firstLine="0" w:firstLineChars="0"/>
              <w:textAlignment w:val="center"/>
              <w:rPr>
                <w:rFonts w:cs="宋体"/>
                <w:color w:val="000000" w:themeColor="text1"/>
                <w:kern w:val="0"/>
                <w:sz w:val="24"/>
                <w:szCs w:val="18"/>
              </w:rPr>
            </w:pPr>
            <w:r>
              <w:rPr>
                <w:rFonts w:hint="eastAsia" w:cs="宋体"/>
                <w:color w:val="000000" w:themeColor="text1"/>
                <w:kern w:val="0"/>
                <w:sz w:val="24"/>
                <w:szCs w:val="18"/>
              </w:rPr>
              <w:t>11</w:t>
            </w:r>
          </w:p>
        </w:tc>
        <w:tc>
          <w:tcPr>
            <w:tcW w:w="2282" w:type="pct"/>
            <w:vAlign w:val="center"/>
          </w:tcPr>
          <w:p>
            <w:pPr>
              <w:widowControl/>
              <w:spacing w:line="240" w:lineRule="exact"/>
              <w:ind w:firstLine="0" w:firstLineChars="0"/>
              <w:textAlignment w:val="center"/>
              <w:rPr>
                <w:rFonts w:cs="Times New Roman"/>
                <w:color w:val="000000" w:themeColor="text1"/>
                <w:kern w:val="0"/>
                <w:sz w:val="24"/>
              </w:rPr>
            </w:pPr>
            <w:r>
              <w:rPr>
                <w:rFonts w:hint="eastAsia" w:cs="宋体"/>
                <w:color w:val="000000" w:themeColor="text1"/>
                <w:kern w:val="0"/>
                <w:sz w:val="24"/>
                <w:szCs w:val="18"/>
              </w:rPr>
              <w:t>城镇失业人员再就业</w:t>
            </w:r>
          </w:p>
        </w:tc>
        <w:tc>
          <w:tcPr>
            <w:tcW w:w="963" w:type="pct"/>
            <w:vAlign w:val="center"/>
          </w:tcPr>
          <w:p>
            <w:pPr>
              <w:widowControl/>
              <w:spacing w:line="240" w:lineRule="exact"/>
              <w:ind w:firstLine="0" w:firstLineChars="0"/>
              <w:jc w:val="center"/>
              <w:textAlignment w:val="center"/>
              <w:rPr>
                <w:rFonts w:cs="宋体"/>
                <w:color w:val="000000" w:themeColor="text1"/>
                <w:kern w:val="0"/>
                <w:sz w:val="24"/>
                <w:szCs w:val="18"/>
              </w:rPr>
            </w:pPr>
            <w:r>
              <w:rPr>
                <w:rFonts w:hint="eastAsia" w:cs="宋体"/>
                <w:color w:val="000000" w:themeColor="text1"/>
                <w:kern w:val="0"/>
                <w:sz w:val="24"/>
                <w:szCs w:val="18"/>
              </w:rPr>
              <w:t>40万人</w:t>
            </w:r>
          </w:p>
        </w:tc>
        <w:tc>
          <w:tcPr>
            <w:tcW w:w="839" w:type="pct"/>
            <w:vAlign w:val="center"/>
          </w:tcPr>
          <w:p>
            <w:pPr>
              <w:widowControl/>
              <w:spacing w:line="240" w:lineRule="exact"/>
              <w:ind w:firstLine="0" w:firstLineChars="0"/>
              <w:jc w:val="center"/>
              <w:textAlignment w:val="center"/>
              <w:rPr>
                <w:rFonts w:cs="宋体"/>
                <w:color w:val="000000" w:themeColor="text1"/>
                <w:kern w:val="0"/>
                <w:sz w:val="24"/>
                <w:szCs w:val="18"/>
              </w:rPr>
            </w:pPr>
            <w:r>
              <w:rPr>
                <w:rFonts w:hint="eastAsia" w:cs="宋体"/>
                <w:color w:val="000000" w:themeColor="text1"/>
                <w:kern w:val="0"/>
                <w:sz w:val="24"/>
                <w:szCs w:val="18"/>
              </w:rPr>
              <w:t>47.27万人</w:t>
            </w:r>
          </w:p>
        </w:tc>
        <w:tc>
          <w:tcPr>
            <w:tcW w:w="662"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118.2%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251" w:type="pct"/>
            <w:vAlign w:val="center"/>
          </w:tcPr>
          <w:p>
            <w:pPr>
              <w:widowControl/>
              <w:spacing w:line="240" w:lineRule="exact"/>
              <w:ind w:firstLine="0" w:firstLineChars="0"/>
              <w:textAlignment w:val="center"/>
              <w:rPr>
                <w:rFonts w:cs="宋体"/>
                <w:color w:val="000000" w:themeColor="text1"/>
                <w:kern w:val="0"/>
                <w:sz w:val="24"/>
                <w:szCs w:val="18"/>
              </w:rPr>
            </w:pPr>
            <w:r>
              <w:rPr>
                <w:rFonts w:hint="eastAsia" w:cs="宋体"/>
                <w:color w:val="000000" w:themeColor="text1"/>
                <w:kern w:val="0"/>
                <w:sz w:val="24"/>
                <w:szCs w:val="18"/>
              </w:rPr>
              <w:t>12</w:t>
            </w:r>
          </w:p>
        </w:tc>
        <w:tc>
          <w:tcPr>
            <w:tcW w:w="2282" w:type="pct"/>
            <w:vAlign w:val="center"/>
          </w:tcPr>
          <w:p>
            <w:pPr>
              <w:widowControl/>
              <w:spacing w:line="240" w:lineRule="exact"/>
              <w:ind w:firstLine="0" w:firstLineChars="0"/>
              <w:textAlignment w:val="center"/>
              <w:rPr>
                <w:rFonts w:cs="Times New Roman"/>
                <w:color w:val="000000" w:themeColor="text1"/>
                <w:kern w:val="0"/>
                <w:sz w:val="24"/>
              </w:rPr>
            </w:pPr>
            <w:r>
              <w:rPr>
                <w:rFonts w:hint="eastAsia" w:cs="宋体"/>
                <w:color w:val="000000" w:themeColor="text1"/>
                <w:kern w:val="0"/>
                <w:sz w:val="24"/>
                <w:szCs w:val="18"/>
              </w:rPr>
              <w:t>扶持南粤家政综合服务示范基地数量（含培训基地、产业园、超市）</w:t>
            </w:r>
          </w:p>
        </w:tc>
        <w:tc>
          <w:tcPr>
            <w:tcW w:w="963"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18"/>
              </w:rPr>
              <w:t>≥10个</w:t>
            </w:r>
          </w:p>
        </w:tc>
        <w:tc>
          <w:tcPr>
            <w:tcW w:w="839"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20"/>
              </w:rPr>
              <w:t>10个</w:t>
            </w:r>
          </w:p>
        </w:tc>
        <w:tc>
          <w:tcPr>
            <w:tcW w:w="662"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251" w:type="pct"/>
            <w:vAlign w:val="center"/>
          </w:tcPr>
          <w:p>
            <w:pPr>
              <w:widowControl/>
              <w:spacing w:line="240" w:lineRule="exact"/>
              <w:ind w:firstLine="0" w:firstLineChars="0"/>
              <w:textAlignment w:val="center"/>
              <w:rPr>
                <w:rFonts w:cs="宋体"/>
                <w:color w:val="000000" w:themeColor="text1"/>
                <w:kern w:val="0"/>
                <w:sz w:val="24"/>
                <w:szCs w:val="18"/>
              </w:rPr>
            </w:pPr>
            <w:r>
              <w:rPr>
                <w:rFonts w:hint="eastAsia" w:cs="宋体"/>
                <w:color w:val="000000" w:themeColor="text1"/>
                <w:kern w:val="0"/>
                <w:sz w:val="24"/>
                <w:szCs w:val="18"/>
              </w:rPr>
              <w:t>13</w:t>
            </w:r>
          </w:p>
        </w:tc>
        <w:tc>
          <w:tcPr>
            <w:tcW w:w="2282" w:type="pct"/>
            <w:vAlign w:val="center"/>
          </w:tcPr>
          <w:p>
            <w:pPr>
              <w:widowControl/>
              <w:spacing w:line="240" w:lineRule="exact"/>
              <w:ind w:firstLine="0" w:firstLineChars="0"/>
              <w:textAlignment w:val="center"/>
              <w:rPr>
                <w:rFonts w:cs="Times New Roman"/>
                <w:color w:val="000000" w:themeColor="text1"/>
                <w:kern w:val="0"/>
                <w:sz w:val="24"/>
              </w:rPr>
            </w:pPr>
            <w:r>
              <w:rPr>
                <w:rFonts w:hint="eastAsia" w:cs="宋体"/>
                <w:color w:val="000000" w:themeColor="text1"/>
                <w:kern w:val="0"/>
                <w:sz w:val="24"/>
                <w:szCs w:val="18"/>
              </w:rPr>
              <w:t>扶持建设省级重点、特色专业（个）</w:t>
            </w:r>
          </w:p>
        </w:tc>
        <w:tc>
          <w:tcPr>
            <w:tcW w:w="963"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18"/>
              </w:rPr>
              <w:t>60个</w:t>
            </w:r>
          </w:p>
        </w:tc>
        <w:tc>
          <w:tcPr>
            <w:tcW w:w="839"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20"/>
              </w:rPr>
              <w:t>60个</w:t>
            </w:r>
          </w:p>
        </w:tc>
        <w:tc>
          <w:tcPr>
            <w:tcW w:w="662"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251" w:type="pct"/>
            <w:vAlign w:val="center"/>
          </w:tcPr>
          <w:p>
            <w:pPr>
              <w:widowControl/>
              <w:spacing w:line="240" w:lineRule="exact"/>
              <w:ind w:firstLine="0" w:firstLineChars="0"/>
              <w:textAlignment w:val="center"/>
              <w:rPr>
                <w:rFonts w:cs="宋体"/>
                <w:color w:val="000000" w:themeColor="text1"/>
                <w:kern w:val="0"/>
                <w:sz w:val="24"/>
                <w:szCs w:val="18"/>
              </w:rPr>
            </w:pPr>
            <w:r>
              <w:rPr>
                <w:rFonts w:hint="eastAsia" w:cs="宋体"/>
                <w:color w:val="000000" w:themeColor="text1"/>
                <w:kern w:val="0"/>
                <w:sz w:val="24"/>
                <w:szCs w:val="18"/>
              </w:rPr>
              <w:t>14</w:t>
            </w:r>
          </w:p>
        </w:tc>
        <w:tc>
          <w:tcPr>
            <w:tcW w:w="2282" w:type="pct"/>
            <w:vAlign w:val="center"/>
          </w:tcPr>
          <w:p>
            <w:pPr>
              <w:widowControl/>
              <w:spacing w:line="240" w:lineRule="exact"/>
              <w:ind w:firstLine="0" w:firstLineChars="0"/>
              <w:textAlignment w:val="center"/>
              <w:rPr>
                <w:rFonts w:cs="Times New Roman"/>
                <w:color w:val="000000" w:themeColor="text1"/>
                <w:kern w:val="0"/>
                <w:sz w:val="24"/>
              </w:rPr>
            </w:pPr>
            <w:r>
              <w:rPr>
                <w:rFonts w:hint="eastAsia" w:cs="宋体"/>
                <w:color w:val="000000" w:themeColor="text1"/>
                <w:kern w:val="0"/>
                <w:sz w:val="24"/>
                <w:szCs w:val="18"/>
              </w:rPr>
              <w:t>技工院校师资培训人数</w:t>
            </w:r>
          </w:p>
        </w:tc>
        <w:tc>
          <w:tcPr>
            <w:tcW w:w="963"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18"/>
              </w:rPr>
              <w:t>不低于2500人</w:t>
            </w:r>
          </w:p>
        </w:tc>
        <w:tc>
          <w:tcPr>
            <w:tcW w:w="839"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Times New Roman"/>
                <w:color w:val="000000" w:themeColor="text1"/>
                <w:kern w:val="0"/>
                <w:sz w:val="24"/>
              </w:rPr>
              <w:t>9242</w:t>
            </w:r>
          </w:p>
        </w:tc>
        <w:tc>
          <w:tcPr>
            <w:tcW w:w="662"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370%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0" w:hRule="atLeast"/>
        </w:trPr>
        <w:tc>
          <w:tcPr>
            <w:tcW w:w="251" w:type="pct"/>
            <w:vAlign w:val="center"/>
          </w:tcPr>
          <w:p>
            <w:pPr>
              <w:widowControl/>
              <w:spacing w:line="240" w:lineRule="exact"/>
              <w:ind w:firstLine="0" w:firstLineChars="0"/>
              <w:textAlignment w:val="center"/>
              <w:rPr>
                <w:rFonts w:cs="宋体"/>
                <w:color w:val="000000" w:themeColor="text1"/>
                <w:kern w:val="0"/>
                <w:sz w:val="24"/>
                <w:szCs w:val="18"/>
              </w:rPr>
            </w:pPr>
            <w:r>
              <w:rPr>
                <w:rFonts w:hint="eastAsia" w:cs="宋体"/>
                <w:color w:val="000000" w:themeColor="text1"/>
                <w:kern w:val="0"/>
                <w:sz w:val="24"/>
                <w:szCs w:val="18"/>
              </w:rPr>
              <w:t>15</w:t>
            </w:r>
          </w:p>
        </w:tc>
        <w:tc>
          <w:tcPr>
            <w:tcW w:w="2282" w:type="pct"/>
            <w:vAlign w:val="center"/>
          </w:tcPr>
          <w:p>
            <w:pPr>
              <w:widowControl/>
              <w:spacing w:line="240" w:lineRule="exact"/>
              <w:ind w:firstLine="0" w:firstLineChars="0"/>
              <w:textAlignment w:val="center"/>
              <w:rPr>
                <w:rFonts w:cs="Times New Roman"/>
                <w:color w:val="000000" w:themeColor="text1"/>
                <w:kern w:val="0"/>
                <w:sz w:val="24"/>
              </w:rPr>
            </w:pPr>
            <w:r>
              <w:rPr>
                <w:rFonts w:hint="eastAsia" w:cs="宋体"/>
                <w:color w:val="000000" w:themeColor="text1"/>
                <w:kern w:val="0"/>
                <w:sz w:val="24"/>
                <w:szCs w:val="18"/>
              </w:rPr>
              <w:t>全省技工院校保有招生学位数（万个）</w:t>
            </w:r>
          </w:p>
        </w:tc>
        <w:tc>
          <w:tcPr>
            <w:tcW w:w="963"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18"/>
              </w:rPr>
              <w:t>19万个</w:t>
            </w:r>
          </w:p>
        </w:tc>
        <w:tc>
          <w:tcPr>
            <w:tcW w:w="839"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20"/>
              </w:rPr>
              <w:t>22.28万</w:t>
            </w:r>
          </w:p>
        </w:tc>
        <w:tc>
          <w:tcPr>
            <w:tcW w:w="662"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117.26%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251" w:type="pct"/>
            <w:vAlign w:val="center"/>
          </w:tcPr>
          <w:p>
            <w:pPr>
              <w:widowControl/>
              <w:spacing w:line="240" w:lineRule="exact"/>
              <w:ind w:firstLine="0" w:firstLineChars="0"/>
              <w:jc w:val="left"/>
              <w:textAlignment w:val="center"/>
              <w:rPr>
                <w:rFonts w:cs="宋体"/>
                <w:color w:val="000000" w:themeColor="text1"/>
                <w:kern w:val="0"/>
                <w:sz w:val="24"/>
                <w:szCs w:val="18"/>
              </w:rPr>
            </w:pPr>
            <w:r>
              <w:rPr>
                <w:rFonts w:hint="eastAsia" w:cs="宋体"/>
                <w:color w:val="000000" w:themeColor="text1"/>
                <w:kern w:val="0"/>
                <w:sz w:val="24"/>
                <w:szCs w:val="18"/>
              </w:rPr>
              <w:t>16</w:t>
            </w:r>
          </w:p>
        </w:tc>
        <w:tc>
          <w:tcPr>
            <w:tcW w:w="2282" w:type="pct"/>
            <w:vAlign w:val="center"/>
          </w:tcPr>
          <w:p>
            <w:pPr>
              <w:widowControl/>
              <w:spacing w:line="240" w:lineRule="exact"/>
              <w:ind w:firstLine="0" w:firstLineChars="0"/>
              <w:jc w:val="left"/>
              <w:textAlignment w:val="center"/>
              <w:rPr>
                <w:rFonts w:cs="Times New Roman"/>
                <w:color w:val="000000" w:themeColor="text1"/>
                <w:kern w:val="0"/>
                <w:sz w:val="24"/>
              </w:rPr>
            </w:pPr>
            <w:r>
              <w:rPr>
                <w:rFonts w:hint="eastAsia" w:cs="宋体"/>
                <w:color w:val="000000" w:themeColor="text1"/>
                <w:kern w:val="0"/>
                <w:sz w:val="24"/>
                <w:szCs w:val="18"/>
              </w:rPr>
              <w:t>扶持粤菜名小吃（及零食）、粤菜师傅特色发展项目个数</w:t>
            </w:r>
          </w:p>
        </w:tc>
        <w:tc>
          <w:tcPr>
            <w:tcW w:w="963"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18"/>
              </w:rPr>
              <w:t>≥10个</w:t>
            </w:r>
          </w:p>
        </w:tc>
        <w:tc>
          <w:tcPr>
            <w:tcW w:w="839"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20"/>
              </w:rPr>
              <w:t>10个</w:t>
            </w:r>
          </w:p>
        </w:tc>
        <w:tc>
          <w:tcPr>
            <w:tcW w:w="662"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251" w:type="pct"/>
            <w:vAlign w:val="center"/>
          </w:tcPr>
          <w:p>
            <w:pPr>
              <w:widowControl/>
              <w:spacing w:line="240" w:lineRule="exact"/>
              <w:ind w:firstLine="0" w:firstLineChars="0"/>
              <w:textAlignment w:val="center"/>
              <w:rPr>
                <w:rFonts w:cs="宋体"/>
                <w:color w:val="000000" w:themeColor="text1"/>
                <w:kern w:val="0"/>
                <w:sz w:val="24"/>
                <w:szCs w:val="18"/>
              </w:rPr>
            </w:pPr>
            <w:r>
              <w:rPr>
                <w:rFonts w:hint="eastAsia" w:cs="宋体"/>
                <w:color w:val="000000" w:themeColor="text1"/>
                <w:kern w:val="0"/>
                <w:sz w:val="24"/>
                <w:szCs w:val="18"/>
              </w:rPr>
              <w:t>17</w:t>
            </w:r>
          </w:p>
        </w:tc>
        <w:tc>
          <w:tcPr>
            <w:tcW w:w="2282" w:type="pct"/>
            <w:vAlign w:val="center"/>
          </w:tcPr>
          <w:p>
            <w:pPr>
              <w:widowControl/>
              <w:spacing w:line="240" w:lineRule="exact"/>
              <w:ind w:firstLine="0" w:firstLineChars="0"/>
              <w:textAlignment w:val="center"/>
              <w:rPr>
                <w:rFonts w:cs="Times New Roman"/>
                <w:color w:val="000000" w:themeColor="text1"/>
                <w:kern w:val="0"/>
                <w:sz w:val="24"/>
              </w:rPr>
            </w:pPr>
            <w:r>
              <w:rPr>
                <w:rFonts w:hint="eastAsia" w:cs="宋体"/>
                <w:color w:val="000000" w:themeColor="text1"/>
                <w:kern w:val="0"/>
                <w:sz w:val="24"/>
                <w:szCs w:val="18"/>
              </w:rPr>
              <w:t>发放创业担保贷款金额（亿元）</w:t>
            </w:r>
          </w:p>
        </w:tc>
        <w:tc>
          <w:tcPr>
            <w:tcW w:w="963" w:type="pct"/>
            <w:vAlign w:val="center"/>
          </w:tcPr>
          <w:p>
            <w:pPr>
              <w:widowControl/>
              <w:spacing w:line="240" w:lineRule="exact"/>
              <w:ind w:firstLine="0" w:firstLineChars="0"/>
              <w:jc w:val="center"/>
              <w:textAlignment w:val="center"/>
              <w:rPr>
                <w:rFonts w:cs="宋体"/>
                <w:color w:val="000000" w:themeColor="text1"/>
                <w:kern w:val="0"/>
                <w:sz w:val="24"/>
                <w:szCs w:val="18"/>
              </w:rPr>
            </w:pPr>
            <w:r>
              <w:rPr>
                <w:rFonts w:hint="eastAsia" w:cs="宋体"/>
                <w:color w:val="000000" w:themeColor="text1"/>
                <w:kern w:val="0"/>
                <w:sz w:val="24"/>
                <w:szCs w:val="18"/>
              </w:rPr>
              <w:t>≥30亿元</w:t>
            </w:r>
          </w:p>
        </w:tc>
        <w:tc>
          <w:tcPr>
            <w:tcW w:w="839" w:type="pct"/>
            <w:vAlign w:val="center"/>
          </w:tcPr>
          <w:p>
            <w:pPr>
              <w:widowControl/>
              <w:spacing w:line="240" w:lineRule="exact"/>
              <w:ind w:firstLine="0" w:firstLineChars="0"/>
              <w:jc w:val="center"/>
              <w:textAlignment w:val="center"/>
              <w:rPr>
                <w:rFonts w:cs="宋体"/>
                <w:color w:val="000000" w:themeColor="text1"/>
                <w:kern w:val="0"/>
                <w:sz w:val="24"/>
                <w:szCs w:val="18"/>
              </w:rPr>
            </w:pPr>
            <w:r>
              <w:rPr>
                <w:rFonts w:hint="eastAsia" w:cs="宋体"/>
                <w:color w:val="000000" w:themeColor="text1"/>
                <w:kern w:val="0"/>
                <w:sz w:val="24"/>
                <w:szCs w:val="18"/>
              </w:rPr>
              <w:t>95.6亿元</w:t>
            </w:r>
          </w:p>
        </w:tc>
        <w:tc>
          <w:tcPr>
            <w:tcW w:w="662"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318.67%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251" w:type="pct"/>
            <w:vAlign w:val="center"/>
          </w:tcPr>
          <w:p>
            <w:pPr>
              <w:widowControl/>
              <w:spacing w:line="240" w:lineRule="exact"/>
              <w:ind w:firstLine="0" w:firstLineChars="0"/>
              <w:textAlignment w:val="center"/>
              <w:rPr>
                <w:rFonts w:cs="宋体"/>
                <w:color w:val="000000" w:themeColor="text1"/>
                <w:kern w:val="0"/>
                <w:sz w:val="24"/>
                <w:szCs w:val="18"/>
              </w:rPr>
            </w:pPr>
            <w:r>
              <w:rPr>
                <w:rFonts w:hint="eastAsia" w:cs="宋体"/>
                <w:color w:val="000000" w:themeColor="text1"/>
                <w:kern w:val="0"/>
                <w:sz w:val="24"/>
                <w:szCs w:val="18"/>
              </w:rPr>
              <w:t>18</w:t>
            </w:r>
          </w:p>
        </w:tc>
        <w:tc>
          <w:tcPr>
            <w:tcW w:w="2282" w:type="pct"/>
            <w:vAlign w:val="center"/>
          </w:tcPr>
          <w:p>
            <w:pPr>
              <w:widowControl/>
              <w:spacing w:line="240" w:lineRule="exact"/>
              <w:ind w:firstLine="0" w:firstLineChars="0"/>
              <w:textAlignment w:val="center"/>
              <w:rPr>
                <w:rFonts w:cs="Times New Roman"/>
                <w:color w:val="000000" w:themeColor="text1"/>
                <w:kern w:val="0"/>
                <w:sz w:val="24"/>
              </w:rPr>
            </w:pPr>
            <w:r>
              <w:rPr>
                <w:rFonts w:hint="eastAsia" w:cs="宋体"/>
                <w:color w:val="000000" w:themeColor="text1"/>
                <w:kern w:val="0"/>
                <w:sz w:val="24"/>
                <w:szCs w:val="18"/>
              </w:rPr>
              <w:t>创业担保贷款财政资金贴息率</w:t>
            </w:r>
          </w:p>
        </w:tc>
        <w:tc>
          <w:tcPr>
            <w:tcW w:w="963"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18"/>
              </w:rPr>
              <w:t>≥40%</w:t>
            </w:r>
          </w:p>
        </w:tc>
        <w:tc>
          <w:tcPr>
            <w:tcW w:w="839"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47.6%</w:t>
            </w:r>
          </w:p>
        </w:tc>
        <w:tc>
          <w:tcPr>
            <w:tcW w:w="662"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119%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7" w:hRule="atLeast"/>
        </w:trPr>
        <w:tc>
          <w:tcPr>
            <w:tcW w:w="251" w:type="pct"/>
            <w:vAlign w:val="center"/>
          </w:tcPr>
          <w:p>
            <w:pPr>
              <w:widowControl/>
              <w:spacing w:line="240" w:lineRule="exact"/>
              <w:ind w:firstLine="0" w:firstLineChars="0"/>
              <w:textAlignment w:val="center"/>
              <w:rPr>
                <w:rFonts w:cs="宋体"/>
                <w:color w:val="000000" w:themeColor="text1"/>
                <w:kern w:val="0"/>
                <w:sz w:val="24"/>
                <w:szCs w:val="18"/>
              </w:rPr>
            </w:pPr>
            <w:r>
              <w:rPr>
                <w:rFonts w:hint="eastAsia" w:cs="宋体"/>
                <w:color w:val="000000" w:themeColor="text1"/>
                <w:kern w:val="0"/>
                <w:sz w:val="24"/>
                <w:szCs w:val="18"/>
              </w:rPr>
              <w:t>19</w:t>
            </w:r>
          </w:p>
        </w:tc>
        <w:tc>
          <w:tcPr>
            <w:tcW w:w="2282" w:type="pct"/>
            <w:vAlign w:val="center"/>
          </w:tcPr>
          <w:p>
            <w:pPr>
              <w:widowControl/>
              <w:spacing w:line="240" w:lineRule="exact"/>
              <w:ind w:firstLine="0" w:firstLineChars="0"/>
              <w:textAlignment w:val="center"/>
              <w:rPr>
                <w:rFonts w:cs="Times New Roman"/>
                <w:color w:val="000000" w:themeColor="text1"/>
                <w:kern w:val="0"/>
                <w:sz w:val="24"/>
              </w:rPr>
            </w:pPr>
            <w:r>
              <w:rPr>
                <w:rFonts w:hint="eastAsia" w:cs="宋体"/>
                <w:color w:val="000000" w:themeColor="text1"/>
                <w:kern w:val="0"/>
                <w:sz w:val="24"/>
                <w:szCs w:val="18"/>
              </w:rPr>
              <w:t>完善和新增实训工位</w:t>
            </w:r>
          </w:p>
        </w:tc>
        <w:tc>
          <w:tcPr>
            <w:tcW w:w="963"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18"/>
              </w:rPr>
              <w:t>＞1000个工位</w:t>
            </w:r>
          </w:p>
        </w:tc>
        <w:tc>
          <w:tcPr>
            <w:tcW w:w="839"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20"/>
              </w:rPr>
              <w:t>2253</w:t>
            </w:r>
          </w:p>
        </w:tc>
        <w:tc>
          <w:tcPr>
            <w:tcW w:w="662"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225.3%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251" w:type="pct"/>
            <w:vAlign w:val="center"/>
          </w:tcPr>
          <w:p>
            <w:pPr>
              <w:widowControl/>
              <w:spacing w:line="240" w:lineRule="exact"/>
              <w:ind w:firstLine="0" w:firstLineChars="0"/>
              <w:textAlignment w:val="center"/>
              <w:rPr>
                <w:rFonts w:cs="宋体"/>
                <w:color w:val="000000" w:themeColor="text1"/>
                <w:kern w:val="0"/>
                <w:sz w:val="24"/>
                <w:szCs w:val="18"/>
              </w:rPr>
            </w:pPr>
            <w:r>
              <w:rPr>
                <w:rFonts w:hint="eastAsia" w:cs="宋体"/>
                <w:color w:val="000000" w:themeColor="text1"/>
                <w:kern w:val="0"/>
                <w:sz w:val="24"/>
                <w:szCs w:val="18"/>
              </w:rPr>
              <w:t>20</w:t>
            </w:r>
          </w:p>
        </w:tc>
        <w:tc>
          <w:tcPr>
            <w:tcW w:w="2282" w:type="pct"/>
            <w:vAlign w:val="center"/>
          </w:tcPr>
          <w:p>
            <w:pPr>
              <w:widowControl/>
              <w:spacing w:line="240" w:lineRule="exact"/>
              <w:ind w:firstLine="0" w:firstLineChars="0"/>
              <w:textAlignment w:val="center"/>
              <w:rPr>
                <w:rFonts w:cs="Times New Roman"/>
                <w:color w:val="000000" w:themeColor="text1"/>
                <w:kern w:val="0"/>
                <w:sz w:val="24"/>
              </w:rPr>
            </w:pPr>
            <w:r>
              <w:rPr>
                <w:rFonts w:hint="eastAsia" w:cs="宋体"/>
                <w:color w:val="000000" w:themeColor="text1"/>
                <w:kern w:val="0"/>
                <w:sz w:val="24"/>
                <w:szCs w:val="18"/>
              </w:rPr>
              <w:t>地市技师学院覆盖数（各地级市）</w:t>
            </w:r>
          </w:p>
        </w:tc>
        <w:tc>
          <w:tcPr>
            <w:tcW w:w="963"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18"/>
              </w:rPr>
              <w:t>≥18个</w:t>
            </w:r>
          </w:p>
        </w:tc>
        <w:tc>
          <w:tcPr>
            <w:tcW w:w="839"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20"/>
              </w:rPr>
              <w:t>21</w:t>
            </w:r>
          </w:p>
        </w:tc>
        <w:tc>
          <w:tcPr>
            <w:tcW w:w="662"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116.67%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251" w:type="pct"/>
            <w:vAlign w:val="center"/>
          </w:tcPr>
          <w:p>
            <w:pPr>
              <w:widowControl/>
              <w:spacing w:line="240" w:lineRule="exact"/>
              <w:ind w:firstLine="0" w:firstLineChars="0"/>
              <w:textAlignment w:val="center"/>
              <w:rPr>
                <w:rFonts w:cs="宋体"/>
                <w:color w:val="000000" w:themeColor="text1"/>
                <w:kern w:val="0"/>
                <w:sz w:val="24"/>
                <w:szCs w:val="18"/>
              </w:rPr>
            </w:pPr>
            <w:r>
              <w:rPr>
                <w:rFonts w:hint="eastAsia" w:cs="宋体"/>
                <w:color w:val="000000" w:themeColor="text1"/>
                <w:kern w:val="0"/>
                <w:sz w:val="24"/>
                <w:szCs w:val="18"/>
              </w:rPr>
              <w:t>21</w:t>
            </w:r>
          </w:p>
        </w:tc>
        <w:tc>
          <w:tcPr>
            <w:tcW w:w="2282" w:type="pct"/>
            <w:vAlign w:val="center"/>
          </w:tcPr>
          <w:p>
            <w:pPr>
              <w:widowControl/>
              <w:spacing w:line="240" w:lineRule="exact"/>
              <w:ind w:firstLine="0" w:firstLineChars="0"/>
              <w:textAlignment w:val="center"/>
              <w:rPr>
                <w:rFonts w:cs="Times New Roman"/>
                <w:color w:val="000000" w:themeColor="text1"/>
                <w:kern w:val="0"/>
                <w:sz w:val="24"/>
              </w:rPr>
            </w:pPr>
            <w:r>
              <w:rPr>
                <w:rFonts w:hint="eastAsia" w:cs="宋体"/>
                <w:color w:val="000000" w:themeColor="text1"/>
                <w:kern w:val="0"/>
                <w:sz w:val="24"/>
                <w:szCs w:val="18"/>
              </w:rPr>
              <w:t>“三支一扶”人员到岗时间</w:t>
            </w:r>
          </w:p>
        </w:tc>
        <w:tc>
          <w:tcPr>
            <w:tcW w:w="963"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18"/>
              </w:rPr>
              <w:t>每年9月底前上岗服务</w:t>
            </w:r>
          </w:p>
        </w:tc>
        <w:tc>
          <w:tcPr>
            <w:tcW w:w="839"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20"/>
              </w:rPr>
              <w:t>7月底前</w:t>
            </w:r>
          </w:p>
        </w:tc>
        <w:tc>
          <w:tcPr>
            <w:tcW w:w="662"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251" w:type="pct"/>
            <w:vAlign w:val="center"/>
          </w:tcPr>
          <w:p>
            <w:pPr>
              <w:widowControl/>
              <w:spacing w:line="240" w:lineRule="exact"/>
              <w:ind w:firstLine="0" w:firstLineChars="0"/>
              <w:jc w:val="left"/>
              <w:textAlignment w:val="center"/>
              <w:rPr>
                <w:rFonts w:cs="宋体"/>
                <w:color w:val="000000" w:themeColor="text1"/>
                <w:kern w:val="0"/>
                <w:sz w:val="24"/>
                <w:szCs w:val="20"/>
              </w:rPr>
            </w:pPr>
            <w:r>
              <w:rPr>
                <w:rFonts w:hint="eastAsia" w:cs="宋体"/>
                <w:color w:val="000000" w:themeColor="text1"/>
                <w:kern w:val="0"/>
                <w:sz w:val="24"/>
                <w:szCs w:val="20"/>
              </w:rPr>
              <w:t>22</w:t>
            </w:r>
          </w:p>
        </w:tc>
        <w:tc>
          <w:tcPr>
            <w:tcW w:w="2282" w:type="pct"/>
            <w:vAlign w:val="center"/>
          </w:tcPr>
          <w:p>
            <w:pPr>
              <w:widowControl/>
              <w:spacing w:line="240" w:lineRule="exact"/>
              <w:ind w:firstLine="0" w:firstLineChars="0"/>
              <w:jc w:val="left"/>
              <w:textAlignment w:val="center"/>
              <w:rPr>
                <w:rFonts w:cs="Times New Roman"/>
                <w:color w:val="000000" w:themeColor="text1"/>
                <w:kern w:val="0"/>
                <w:sz w:val="24"/>
              </w:rPr>
            </w:pPr>
            <w:r>
              <w:rPr>
                <w:rFonts w:hint="eastAsia" w:cs="宋体"/>
                <w:color w:val="000000" w:themeColor="text1"/>
                <w:kern w:val="0"/>
                <w:sz w:val="24"/>
                <w:szCs w:val="20"/>
              </w:rPr>
              <w:t>紧缺拔尖人才资助经费下达时间</w:t>
            </w:r>
          </w:p>
        </w:tc>
        <w:tc>
          <w:tcPr>
            <w:tcW w:w="963"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20"/>
              </w:rPr>
              <w:t>2022年6月30日前</w:t>
            </w:r>
          </w:p>
        </w:tc>
        <w:tc>
          <w:tcPr>
            <w:tcW w:w="839"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20"/>
              </w:rPr>
              <w:t>11月底前</w:t>
            </w:r>
          </w:p>
        </w:tc>
        <w:tc>
          <w:tcPr>
            <w:tcW w:w="662"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0" w:hRule="atLeast"/>
        </w:trPr>
        <w:tc>
          <w:tcPr>
            <w:tcW w:w="251" w:type="pct"/>
            <w:vAlign w:val="center"/>
          </w:tcPr>
          <w:p>
            <w:pPr>
              <w:widowControl/>
              <w:spacing w:line="240" w:lineRule="exact"/>
              <w:ind w:firstLine="0" w:firstLineChars="0"/>
              <w:textAlignment w:val="center"/>
              <w:rPr>
                <w:rFonts w:cs="宋体"/>
                <w:color w:val="000000" w:themeColor="text1"/>
                <w:kern w:val="0"/>
                <w:sz w:val="24"/>
                <w:szCs w:val="18"/>
              </w:rPr>
            </w:pPr>
            <w:r>
              <w:rPr>
                <w:rFonts w:hint="eastAsia" w:cs="宋体"/>
                <w:color w:val="000000" w:themeColor="text1"/>
                <w:kern w:val="0"/>
                <w:sz w:val="24"/>
                <w:szCs w:val="18"/>
              </w:rPr>
              <w:t>23</w:t>
            </w:r>
          </w:p>
        </w:tc>
        <w:tc>
          <w:tcPr>
            <w:tcW w:w="2282" w:type="pct"/>
            <w:vAlign w:val="center"/>
          </w:tcPr>
          <w:p>
            <w:pPr>
              <w:widowControl/>
              <w:spacing w:line="240" w:lineRule="exact"/>
              <w:ind w:firstLine="0" w:firstLineChars="0"/>
              <w:textAlignment w:val="center"/>
              <w:rPr>
                <w:rFonts w:cs="Times New Roman"/>
                <w:color w:val="000000" w:themeColor="text1"/>
                <w:kern w:val="0"/>
                <w:sz w:val="24"/>
              </w:rPr>
            </w:pPr>
            <w:r>
              <w:rPr>
                <w:rFonts w:hint="eastAsia" w:cs="宋体"/>
                <w:color w:val="000000" w:themeColor="text1"/>
                <w:kern w:val="0"/>
                <w:sz w:val="24"/>
                <w:szCs w:val="18"/>
              </w:rPr>
              <w:t>博士后留粤人数占出站人数比例</w:t>
            </w:r>
          </w:p>
        </w:tc>
        <w:tc>
          <w:tcPr>
            <w:tcW w:w="963"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18"/>
              </w:rPr>
              <w:t>≥70%</w:t>
            </w:r>
          </w:p>
        </w:tc>
        <w:tc>
          <w:tcPr>
            <w:tcW w:w="839"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20"/>
                <w:lang w:val="en-US" w:eastAsia="zh-CN"/>
              </w:rPr>
              <w:t>70</w:t>
            </w:r>
            <w:r>
              <w:rPr>
                <w:rFonts w:hint="eastAsia" w:cs="宋体"/>
                <w:color w:val="000000" w:themeColor="text1"/>
                <w:kern w:val="0"/>
                <w:sz w:val="24"/>
                <w:szCs w:val="20"/>
              </w:rPr>
              <w:t>%</w:t>
            </w:r>
          </w:p>
        </w:tc>
        <w:tc>
          <w:tcPr>
            <w:tcW w:w="662"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lang w:val="en-US" w:eastAsia="zh-CN"/>
              </w:rPr>
              <w:t>100</w:t>
            </w:r>
            <w:r>
              <w:rPr>
                <w:rFonts w:hint="eastAsia" w:cs="Times New Roman"/>
                <w:color w:val="000000" w:themeColor="text1"/>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251" w:type="pct"/>
            <w:vAlign w:val="center"/>
          </w:tcPr>
          <w:p>
            <w:pPr>
              <w:widowControl/>
              <w:spacing w:line="240" w:lineRule="exact"/>
              <w:ind w:firstLine="0" w:firstLineChars="0"/>
              <w:textAlignment w:val="center"/>
              <w:rPr>
                <w:rFonts w:cs="宋体"/>
                <w:color w:val="000000" w:themeColor="text1"/>
                <w:kern w:val="0"/>
                <w:sz w:val="24"/>
                <w:szCs w:val="18"/>
              </w:rPr>
            </w:pPr>
            <w:r>
              <w:rPr>
                <w:rFonts w:hint="eastAsia" w:cs="宋体"/>
                <w:color w:val="000000" w:themeColor="text1"/>
                <w:kern w:val="0"/>
                <w:sz w:val="24"/>
                <w:szCs w:val="18"/>
              </w:rPr>
              <w:t>24</w:t>
            </w:r>
          </w:p>
        </w:tc>
        <w:tc>
          <w:tcPr>
            <w:tcW w:w="2282" w:type="pct"/>
            <w:vAlign w:val="center"/>
          </w:tcPr>
          <w:p>
            <w:pPr>
              <w:widowControl/>
              <w:spacing w:line="240" w:lineRule="exact"/>
              <w:ind w:firstLine="0" w:firstLineChars="0"/>
              <w:textAlignment w:val="center"/>
              <w:rPr>
                <w:rFonts w:cs="Times New Roman"/>
                <w:color w:val="000000" w:themeColor="text1"/>
                <w:kern w:val="0"/>
                <w:sz w:val="24"/>
              </w:rPr>
            </w:pPr>
            <w:r>
              <w:rPr>
                <w:rFonts w:hint="eastAsia" w:cs="宋体"/>
                <w:color w:val="000000" w:themeColor="text1"/>
                <w:kern w:val="0"/>
                <w:sz w:val="24"/>
                <w:szCs w:val="18"/>
              </w:rPr>
              <w:t>城乡居民基础养老金标准</w:t>
            </w:r>
          </w:p>
        </w:tc>
        <w:tc>
          <w:tcPr>
            <w:tcW w:w="963"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18"/>
              </w:rPr>
              <w:t>城乡居民基础养老金标准</w:t>
            </w:r>
          </w:p>
        </w:tc>
        <w:tc>
          <w:tcPr>
            <w:tcW w:w="839"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20"/>
              </w:rPr>
              <w:t>190元</w:t>
            </w:r>
          </w:p>
        </w:tc>
        <w:tc>
          <w:tcPr>
            <w:tcW w:w="662"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251" w:type="pct"/>
            <w:vAlign w:val="center"/>
          </w:tcPr>
          <w:p>
            <w:pPr>
              <w:widowControl/>
              <w:spacing w:line="240" w:lineRule="exact"/>
              <w:ind w:firstLine="0" w:firstLineChars="0"/>
              <w:textAlignment w:val="center"/>
              <w:rPr>
                <w:rFonts w:cs="宋体"/>
                <w:color w:val="000000" w:themeColor="text1"/>
                <w:kern w:val="0"/>
                <w:sz w:val="24"/>
                <w:szCs w:val="18"/>
              </w:rPr>
            </w:pPr>
            <w:r>
              <w:rPr>
                <w:rFonts w:hint="eastAsia" w:cs="宋体"/>
                <w:color w:val="000000" w:themeColor="text1"/>
                <w:kern w:val="0"/>
                <w:sz w:val="24"/>
                <w:szCs w:val="18"/>
              </w:rPr>
              <w:t>25</w:t>
            </w:r>
          </w:p>
        </w:tc>
        <w:tc>
          <w:tcPr>
            <w:tcW w:w="2282" w:type="pct"/>
            <w:vAlign w:val="center"/>
          </w:tcPr>
          <w:p>
            <w:pPr>
              <w:widowControl/>
              <w:spacing w:line="240" w:lineRule="exact"/>
              <w:ind w:firstLine="0" w:firstLineChars="0"/>
              <w:textAlignment w:val="center"/>
              <w:rPr>
                <w:rFonts w:cs="Times New Roman"/>
                <w:color w:val="000000" w:themeColor="text1"/>
                <w:kern w:val="0"/>
                <w:sz w:val="24"/>
              </w:rPr>
            </w:pPr>
            <w:r>
              <w:rPr>
                <w:rFonts w:hint="eastAsia" w:cs="宋体"/>
                <w:color w:val="000000" w:themeColor="text1"/>
                <w:kern w:val="0"/>
                <w:sz w:val="24"/>
                <w:szCs w:val="18"/>
              </w:rPr>
              <w:t>财政资金使用合规性</w:t>
            </w:r>
          </w:p>
        </w:tc>
        <w:tc>
          <w:tcPr>
            <w:tcW w:w="963"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18"/>
              </w:rPr>
              <w:t>资金支出等符合相关规定</w:t>
            </w:r>
          </w:p>
        </w:tc>
        <w:tc>
          <w:tcPr>
            <w:tcW w:w="839"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符合规定</w:t>
            </w:r>
          </w:p>
        </w:tc>
        <w:tc>
          <w:tcPr>
            <w:tcW w:w="662"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251" w:type="pct"/>
            <w:vAlign w:val="center"/>
          </w:tcPr>
          <w:p>
            <w:pPr>
              <w:widowControl/>
              <w:spacing w:line="240" w:lineRule="exact"/>
              <w:ind w:firstLine="0" w:firstLineChars="0"/>
              <w:textAlignment w:val="center"/>
              <w:rPr>
                <w:rFonts w:cs="宋体"/>
                <w:color w:val="000000" w:themeColor="text1"/>
                <w:kern w:val="0"/>
                <w:sz w:val="24"/>
                <w:szCs w:val="18"/>
              </w:rPr>
            </w:pPr>
            <w:r>
              <w:rPr>
                <w:rFonts w:hint="eastAsia" w:cs="宋体"/>
                <w:color w:val="000000" w:themeColor="text1"/>
                <w:kern w:val="0"/>
                <w:sz w:val="24"/>
                <w:szCs w:val="18"/>
              </w:rPr>
              <w:t>26</w:t>
            </w:r>
          </w:p>
        </w:tc>
        <w:tc>
          <w:tcPr>
            <w:tcW w:w="2282" w:type="pct"/>
            <w:vAlign w:val="center"/>
          </w:tcPr>
          <w:p>
            <w:pPr>
              <w:widowControl/>
              <w:spacing w:line="240" w:lineRule="exact"/>
              <w:ind w:firstLine="0" w:firstLineChars="0"/>
              <w:textAlignment w:val="center"/>
              <w:rPr>
                <w:rFonts w:cs="Times New Roman"/>
                <w:color w:val="000000" w:themeColor="text1"/>
                <w:kern w:val="0"/>
                <w:sz w:val="24"/>
              </w:rPr>
            </w:pPr>
            <w:r>
              <w:rPr>
                <w:rFonts w:hint="eastAsia" w:cs="宋体"/>
                <w:color w:val="000000" w:themeColor="text1"/>
                <w:kern w:val="0"/>
                <w:sz w:val="24"/>
                <w:szCs w:val="18"/>
              </w:rPr>
              <w:t>创业担保贷款补贴发放准确率（%）</w:t>
            </w:r>
          </w:p>
        </w:tc>
        <w:tc>
          <w:tcPr>
            <w:tcW w:w="963"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18"/>
              </w:rPr>
              <w:t>≥95%</w:t>
            </w:r>
          </w:p>
        </w:tc>
        <w:tc>
          <w:tcPr>
            <w:tcW w:w="839"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99%</w:t>
            </w:r>
          </w:p>
        </w:tc>
        <w:tc>
          <w:tcPr>
            <w:tcW w:w="662"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104%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7" w:hRule="atLeast"/>
        </w:trPr>
        <w:tc>
          <w:tcPr>
            <w:tcW w:w="251" w:type="pct"/>
            <w:vAlign w:val="center"/>
          </w:tcPr>
          <w:p>
            <w:pPr>
              <w:widowControl/>
              <w:spacing w:line="240" w:lineRule="exact"/>
              <w:ind w:firstLine="0" w:firstLineChars="0"/>
              <w:textAlignment w:val="center"/>
              <w:rPr>
                <w:rFonts w:cs="宋体"/>
                <w:color w:val="000000" w:themeColor="text1"/>
                <w:kern w:val="0"/>
                <w:sz w:val="24"/>
                <w:szCs w:val="18"/>
              </w:rPr>
            </w:pPr>
            <w:r>
              <w:rPr>
                <w:rFonts w:hint="eastAsia" w:cs="宋体"/>
                <w:color w:val="000000" w:themeColor="text1"/>
                <w:kern w:val="0"/>
                <w:sz w:val="24"/>
                <w:szCs w:val="18"/>
              </w:rPr>
              <w:t>27</w:t>
            </w:r>
          </w:p>
        </w:tc>
        <w:tc>
          <w:tcPr>
            <w:tcW w:w="2282" w:type="pct"/>
            <w:vAlign w:val="center"/>
          </w:tcPr>
          <w:p>
            <w:pPr>
              <w:widowControl/>
              <w:spacing w:line="240" w:lineRule="exact"/>
              <w:ind w:firstLine="0" w:firstLineChars="0"/>
              <w:textAlignment w:val="center"/>
              <w:rPr>
                <w:rFonts w:cs="Times New Roman"/>
                <w:color w:val="000000" w:themeColor="text1"/>
                <w:kern w:val="0"/>
                <w:sz w:val="24"/>
              </w:rPr>
            </w:pPr>
            <w:r>
              <w:rPr>
                <w:rFonts w:hint="eastAsia" w:cs="宋体"/>
                <w:color w:val="000000" w:themeColor="text1"/>
                <w:kern w:val="0"/>
                <w:sz w:val="24"/>
                <w:szCs w:val="18"/>
              </w:rPr>
              <w:t>“三支一扶”人员服务期满考核合格率（%）</w:t>
            </w:r>
          </w:p>
        </w:tc>
        <w:tc>
          <w:tcPr>
            <w:tcW w:w="963"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18"/>
              </w:rPr>
              <w:t>≥90%</w:t>
            </w:r>
          </w:p>
        </w:tc>
        <w:tc>
          <w:tcPr>
            <w:tcW w:w="839"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100%</w:t>
            </w:r>
          </w:p>
        </w:tc>
        <w:tc>
          <w:tcPr>
            <w:tcW w:w="662"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111%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251" w:type="pct"/>
            <w:vAlign w:val="center"/>
          </w:tcPr>
          <w:p>
            <w:pPr>
              <w:widowControl/>
              <w:spacing w:line="240" w:lineRule="exact"/>
              <w:ind w:firstLine="0" w:firstLineChars="0"/>
              <w:textAlignment w:val="center"/>
              <w:rPr>
                <w:rFonts w:cs="宋体"/>
                <w:color w:val="000000" w:themeColor="text1"/>
                <w:kern w:val="0"/>
                <w:sz w:val="24"/>
                <w:szCs w:val="18"/>
              </w:rPr>
            </w:pPr>
            <w:r>
              <w:rPr>
                <w:rFonts w:hint="eastAsia" w:cs="宋体"/>
                <w:color w:val="000000" w:themeColor="text1"/>
                <w:kern w:val="0"/>
                <w:sz w:val="24"/>
                <w:szCs w:val="18"/>
              </w:rPr>
              <w:t>28</w:t>
            </w:r>
          </w:p>
        </w:tc>
        <w:tc>
          <w:tcPr>
            <w:tcW w:w="2282" w:type="pct"/>
            <w:vAlign w:val="center"/>
          </w:tcPr>
          <w:p>
            <w:pPr>
              <w:widowControl/>
              <w:spacing w:line="240" w:lineRule="exact"/>
              <w:ind w:firstLine="0" w:firstLineChars="0"/>
              <w:textAlignment w:val="center"/>
              <w:rPr>
                <w:rFonts w:cs="Times New Roman"/>
                <w:color w:val="000000" w:themeColor="text1"/>
                <w:kern w:val="0"/>
                <w:sz w:val="24"/>
              </w:rPr>
            </w:pPr>
            <w:r>
              <w:rPr>
                <w:rFonts w:hint="eastAsia" w:cs="宋体"/>
                <w:color w:val="000000" w:themeColor="text1"/>
                <w:kern w:val="0"/>
                <w:sz w:val="24"/>
                <w:szCs w:val="18"/>
              </w:rPr>
              <w:t>“南粤家政”综合服务示范基地验收合格率（%）</w:t>
            </w:r>
          </w:p>
        </w:tc>
        <w:tc>
          <w:tcPr>
            <w:tcW w:w="963"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18"/>
              </w:rPr>
              <w:t>≥90%</w:t>
            </w:r>
          </w:p>
        </w:tc>
        <w:tc>
          <w:tcPr>
            <w:tcW w:w="839"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20"/>
              </w:rPr>
              <w:t>≥90%</w:t>
            </w:r>
          </w:p>
        </w:tc>
        <w:tc>
          <w:tcPr>
            <w:tcW w:w="662"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trPr>
        <w:tc>
          <w:tcPr>
            <w:tcW w:w="251" w:type="pct"/>
            <w:vAlign w:val="center"/>
          </w:tcPr>
          <w:p>
            <w:pPr>
              <w:widowControl/>
              <w:spacing w:line="240" w:lineRule="exact"/>
              <w:ind w:firstLine="0" w:firstLineChars="0"/>
              <w:textAlignment w:val="center"/>
              <w:rPr>
                <w:rFonts w:cs="宋体"/>
                <w:color w:val="000000" w:themeColor="text1"/>
                <w:kern w:val="0"/>
                <w:sz w:val="24"/>
                <w:szCs w:val="18"/>
              </w:rPr>
            </w:pPr>
            <w:r>
              <w:rPr>
                <w:rFonts w:hint="eastAsia" w:cs="宋体"/>
                <w:color w:val="000000" w:themeColor="text1"/>
                <w:kern w:val="0"/>
                <w:sz w:val="24"/>
                <w:szCs w:val="18"/>
              </w:rPr>
              <w:t>29</w:t>
            </w:r>
          </w:p>
        </w:tc>
        <w:tc>
          <w:tcPr>
            <w:tcW w:w="2282" w:type="pct"/>
            <w:vAlign w:val="center"/>
          </w:tcPr>
          <w:p>
            <w:pPr>
              <w:widowControl/>
              <w:spacing w:line="240" w:lineRule="exact"/>
              <w:ind w:firstLine="0" w:firstLineChars="0"/>
              <w:textAlignment w:val="center"/>
              <w:rPr>
                <w:rFonts w:cs="Times New Roman"/>
                <w:color w:val="000000" w:themeColor="text1"/>
                <w:kern w:val="0"/>
                <w:sz w:val="24"/>
              </w:rPr>
            </w:pPr>
            <w:r>
              <w:rPr>
                <w:rFonts w:hint="eastAsia" w:cs="宋体"/>
                <w:color w:val="000000" w:themeColor="text1"/>
                <w:kern w:val="0"/>
                <w:sz w:val="24"/>
                <w:szCs w:val="18"/>
              </w:rPr>
              <w:t>高频服务事项“跨省通办、省内通办”比例（%）</w:t>
            </w:r>
          </w:p>
        </w:tc>
        <w:tc>
          <w:tcPr>
            <w:tcW w:w="963"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18"/>
              </w:rPr>
              <w:t>≥95%</w:t>
            </w:r>
          </w:p>
        </w:tc>
        <w:tc>
          <w:tcPr>
            <w:tcW w:w="839"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20"/>
              </w:rPr>
              <w:t>100%</w:t>
            </w:r>
          </w:p>
        </w:tc>
        <w:tc>
          <w:tcPr>
            <w:tcW w:w="662"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105%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251" w:type="pct"/>
            <w:vAlign w:val="center"/>
          </w:tcPr>
          <w:p>
            <w:pPr>
              <w:widowControl/>
              <w:spacing w:line="240" w:lineRule="exact"/>
              <w:ind w:firstLine="0" w:firstLineChars="0"/>
              <w:textAlignment w:val="center"/>
              <w:rPr>
                <w:rFonts w:cs="宋体"/>
                <w:color w:val="000000" w:themeColor="text1"/>
                <w:kern w:val="0"/>
                <w:sz w:val="24"/>
                <w:szCs w:val="18"/>
              </w:rPr>
            </w:pPr>
            <w:r>
              <w:rPr>
                <w:rFonts w:hint="eastAsia" w:cs="宋体"/>
                <w:color w:val="000000" w:themeColor="text1"/>
                <w:kern w:val="0"/>
                <w:sz w:val="24"/>
                <w:szCs w:val="18"/>
              </w:rPr>
              <w:t>30</w:t>
            </w:r>
          </w:p>
        </w:tc>
        <w:tc>
          <w:tcPr>
            <w:tcW w:w="2282" w:type="pct"/>
            <w:vAlign w:val="center"/>
          </w:tcPr>
          <w:p>
            <w:pPr>
              <w:widowControl/>
              <w:spacing w:line="240" w:lineRule="exact"/>
              <w:ind w:firstLine="0" w:firstLineChars="0"/>
              <w:textAlignment w:val="center"/>
              <w:rPr>
                <w:rFonts w:cs="Times New Roman"/>
                <w:color w:val="000000" w:themeColor="text1"/>
                <w:kern w:val="0"/>
                <w:sz w:val="24"/>
              </w:rPr>
            </w:pPr>
            <w:r>
              <w:rPr>
                <w:rFonts w:hint="eastAsia" w:cs="宋体"/>
                <w:color w:val="000000" w:themeColor="text1"/>
                <w:kern w:val="0"/>
                <w:sz w:val="24"/>
                <w:szCs w:val="18"/>
              </w:rPr>
              <w:t>项目完成及时性</w:t>
            </w:r>
          </w:p>
        </w:tc>
        <w:tc>
          <w:tcPr>
            <w:tcW w:w="963"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18"/>
              </w:rPr>
              <w:t>项目按计划时间完成</w:t>
            </w:r>
          </w:p>
        </w:tc>
        <w:tc>
          <w:tcPr>
            <w:tcW w:w="839"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已按计划完成</w:t>
            </w:r>
          </w:p>
        </w:tc>
        <w:tc>
          <w:tcPr>
            <w:tcW w:w="662"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0" w:hRule="atLeast"/>
        </w:trPr>
        <w:tc>
          <w:tcPr>
            <w:tcW w:w="251" w:type="pct"/>
            <w:vAlign w:val="center"/>
          </w:tcPr>
          <w:p>
            <w:pPr>
              <w:widowControl/>
              <w:spacing w:line="240" w:lineRule="exact"/>
              <w:ind w:firstLine="0" w:firstLineChars="0"/>
              <w:textAlignment w:val="center"/>
              <w:rPr>
                <w:rFonts w:cs="宋体"/>
                <w:color w:val="000000" w:themeColor="text1"/>
                <w:kern w:val="0"/>
                <w:sz w:val="24"/>
                <w:szCs w:val="20"/>
              </w:rPr>
            </w:pPr>
            <w:r>
              <w:rPr>
                <w:rFonts w:hint="eastAsia" w:cs="宋体"/>
                <w:color w:val="000000" w:themeColor="text1"/>
                <w:kern w:val="0"/>
                <w:sz w:val="24"/>
                <w:szCs w:val="20"/>
              </w:rPr>
              <w:t>31</w:t>
            </w:r>
          </w:p>
        </w:tc>
        <w:tc>
          <w:tcPr>
            <w:tcW w:w="2282" w:type="pct"/>
            <w:vAlign w:val="center"/>
          </w:tcPr>
          <w:p>
            <w:pPr>
              <w:widowControl/>
              <w:spacing w:line="240" w:lineRule="exact"/>
              <w:ind w:firstLine="0" w:firstLineChars="0"/>
              <w:textAlignment w:val="center"/>
              <w:rPr>
                <w:rFonts w:cs="Times New Roman"/>
                <w:color w:val="000000" w:themeColor="text1"/>
                <w:kern w:val="0"/>
                <w:sz w:val="24"/>
              </w:rPr>
            </w:pPr>
            <w:r>
              <w:rPr>
                <w:rFonts w:hint="eastAsia" w:cs="宋体"/>
                <w:color w:val="000000" w:themeColor="text1"/>
                <w:kern w:val="0"/>
                <w:sz w:val="24"/>
                <w:szCs w:val="20"/>
              </w:rPr>
              <w:t>行政经费节约率</w:t>
            </w:r>
          </w:p>
        </w:tc>
        <w:tc>
          <w:tcPr>
            <w:tcW w:w="963"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20"/>
              </w:rPr>
              <w:t>行政经费总额不超上年</w:t>
            </w:r>
          </w:p>
        </w:tc>
        <w:tc>
          <w:tcPr>
            <w:tcW w:w="839"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不超过</w:t>
            </w:r>
          </w:p>
        </w:tc>
        <w:tc>
          <w:tcPr>
            <w:tcW w:w="662"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100%</w:t>
            </w:r>
          </w:p>
        </w:tc>
      </w:tr>
    </w:tbl>
    <w:p>
      <w:pPr>
        <w:widowControl/>
        <w:ind w:firstLine="640"/>
        <w:jc w:val="left"/>
        <w:rPr>
          <w:color w:val="000000" w:themeColor="text1"/>
        </w:rPr>
      </w:pPr>
      <w:r>
        <w:rPr>
          <w:rFonts w:cs="仿宋_GB2312"/>
          <w:color w:val="000000" w:themeColor="text1"/>
          <w:kern w:val="0"/>
          <w:szCs w:val="32"/>
        </w:rPr>
        <w:t>（</w:t>
      </w:r>
      <w:r>
        <w:rPr>
          <w:rFonts w:hint="eastAsia" w:eastAsia="宋体" w:cs="Times New Roman"/>
          <w:color w:val="000000" w:themeColor="text1"/>
          <w:kern w:val="0"/>
          <w:szCs w:val="32"/>
        </w:rPr>
        <w:t>2</w:t>
      </w:r>
      <w:r>
        <w:rPr>
          <w:rFonts w:cs="仿宋_GB2312"/>
          <w:color w:val="000000" w:themeColor="text1"/>
          <w:kern w:val="0"/>
          <w:szCs w:val="32"/>
        </w:rPr>
        <w:t>）</w:t>
      </w:r>
      <w:r>
        <w:rPr>
          <w:rFonts w:hint="eastAsia" w:cs="仿宋_GB2312"/>
          <w:color w:val="000000" w:themeColor="text1"/>
          <w:kern w:val="0"/>
          <w:szCs w:val="32"/>
        </w:rPr>
        <w:t>部门整体绩效目标效益指标完成情况</w:t>
      </w:r>
      <w:r>
        <w:rPr>
          <w:rFonts w:cs="仿宋_GB2312"/>
          <w:color w:val="000000" w:themeColor="text1"/>
          <w:kern w:val="0"/>
          <w:szCs w:val="32"/>
        </w:rPr>
        <w:t>。</w:t>
      </w:r>
    </w:p>
    <w:p>
      <w:pPr>
        <w:widowControl/>
        <w:ind w:firstLine="640"/>
        <w:rPr>
          <w:color w:val="000000" w:themeColor="text1"/>
        </w:rPr>
      </w:pPr>
      <w:r>
        <w:rPr>
          <w:rFonts w:hint="eastAsia" w:cs="仿宋_GB2312"/>
          <w:color w:val="000000" w:themeColor="text1"/>
          <w:kern w:val="0"/>
          <w:szCs w:val="31"/>
        </w:rPr>
        <w:t>我厅效益指标共设置13个，已完成12个指标（其中实际完成率超150%的指标有3个），未完成指标1个，指标分值10分，自评得分8.77分，</w:t>
      </w:r>
      <w:r>
        <w:rPr>
          <w:rFonts w:cs="Times New Roman"/>
          <w:color w:val="000000" w:themeColor="text1"/>
          <w:kern w:val="0"/>
          <w:szCs w:val="31"/>
        </w:rPr>
        <w:t>得分率</w:t>
      </w:r>
      <w:r>
        <w:rPr>
          <w:rFonts w:hint="eastAsia" w:cs="Times New Roman"/>
          <w:color w:val="000000" w:themeColor="text1"/>
          <w:kern w:val="0"/>
          <w:szCs w:val="31"/>
        </w:rPr>
        <w:t>87.7</w:t>
      </w:r>
      <w:r>
        <w:rPr>
          <w:rFonts w:cs="Times New Roman"/>
          <w:color w:val="000000" w:themeColor="text1"/>
          <w:kern w:val="0"/>
          <w:szCs w:val="31"/>
        </w:rPr>
        <w:t>%。</w:t>
      </w:r>
      <w:r>
        <w:rPr>
          <w:color w:val="000000" w:themeColor="text1"/>
        </w:rPr>
        <w:t>各项指标</w:t>
      </w:r>
      <w:r>
        <w:rPr>
          <w:rFonts w:hint="eastAsia"/>
          <w:color w:val="000000" w:themeColor="text1"/>
        </w:rPr>
        <w:t>完成</w:t>
      </w:r>
      <w:r>
        <w:rPr>
          <w:color w:val="000000" w:themeColor="text1"/>
        </w:rPr>
        <w:t>情况见表</w:t>
      </w:r>
      <w:r>
        <w:rPr>
          <w:rFonts w:hint="eastAsia"/>
          <w:color w:val="000000" w:themeColor="text1"/>
        </w:rPr>
        <w:t>2</w:t>
      </w:r>
      <w:r>
        <w:rPr>
          <w:color w:val="000000" w:themeColor="text1"/>
        </w:rPr>
        <w:t>-</w:t>
      </w:r>
      <w:r>
        <w:rPr>
          <w:rFonts w:hint="eastAsia"/>
          <w:color w:val="000000" w:themeColor="text1"/>
        </w:rPr>
        <w:t>2</w:t>
      </w:r>
      <w:r>
        <w:rPr>
          <w:color w:val="000000" w:themeColor="text1"/>
        </w:rPr>
        <w:t>。</w:t>
      </w:r>
    </w:p>
    <w:p>
      <w:pPr>
        <w:spacing w:line="360" w:lineRule="auto"/>
        <w:ind w:firstLine="560"/>
        <w:jc w:val="center"/>
        <w:rPr>
          <w:rFonts w:eastAsia="黑体" w:cs="黑体"/>
          <w:color w:val="000000" w:themeColor="text1"/>
          <w:sz w:val="28"/>
          <w:szCs w:val="36"/>
        </w:rPr>
      </w:pPr>
      <w:r>
        <w:rPr>
          <w:rFonts w:hint="eastAsia" w:eastAsia="黑体" w:cs="黑体"/>
          <w:color w:val="000000" w:themeColor="text1"/>
          <w:sz w:val="28"/>
          <w:szCs w:val="36"/>
        </w:rPr>
        <w:t>表2-2部门整体绩效目标效益指标完成情况</w:t>
      </w:r>
    </w:p>
    <w:tbl>
      <w:tblPr>
        <w:tblStyle w:val="17"/>
        <w:tblW w:w="5097" w:type="pct"/>
        <w:tblInd w:w="-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4232"/>
        <w:gridCol w:w="1673"/>
        <w:gridCol w:w="1530"/>
        <w:gridCol w:w="12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blHeader/>
        </w:trPr>
        <w:tc>
          <w:tcPr>
            <w:tcW w:w="250" w:type="pct"/>
            <w:vAlign w:val="center"/>
          </w:tcPr>
          <w:p>
            <w:pPr>
              <w:widowControl/>
              <w:spacing w:line="240" w:lineRule="exact"/>
              <w:ind w:firstLine="0" w:firstLineChars="0"/>
              <w:jc w:val="center"/>
              <w:textAlignment w:val="center"/>
              <w:rPr>
                <w:rFonts w:cs="仿宋_GB2312"/>
                <w:b/>
                <w:bCs/>
                <w:color w:val="000000" w:themeColor="text1"/>
                <w:kern w:val="0"/>
                <w:sz w:val="24"/>
              </w:rPr>
            </w:pPr>
            <w:r>
              <w:rPr>
                <w:rFonts w:hint="eastAsia" w:cs="仿宋_GB2312"/>
                <w:b/>
                <w:bCs/>
                <w:color w:val="000000" w:themeColor="text1"/>
                <w:kern w:val="0"/>
                <w:sz w:val="24"/>
              </w:rPr>
              <w:t>序号</w:t>
            </w:r>
          </w:p>
        </w:tc>
        <w:tc>
          <w:tcPr>
            <w:tcW w:w="2319" w:type="pct"/>
            <w:vAlign w:val="center"/>
          </w:tcPr>
          <w:p>
            <w:pPr>
              <w:widowControl/>
              <w:spacing w:line="240" w:lineRule="exact"/>
              <w:ind w:firstLine="0" w:firstLineChars="0"/>
              <w:jc w:val="center"/>
              <w:textAlignment w:val="center"/>
              <w:rPr>
                <w:rFonts w:cs="仿宋_GB2312"/>
                <w:color w:val="000000" w:themeColor="text1"/>
                <w:kern w:val="0"/>
                <w:sz w:val="24"/>
              </w:rPr>
            </w:pPr>
            <w:r>
              <w:rPr>
                <w:rFonts w:hint="eastAsia" w:cs="仿宋_GB2312"/>
                <w:b/>
                <w:bCs/>
                <w:color w:val="000000" w:themeColor="text1"/>
                <w:kern w:val="0"/>
                <w:sz w:val="24"/>
              </w:rPr>
              <w:t>指标名称</w:t>
            </w:r>
          </w:p>
        </w:tc>
        <w:tc>
          <w:tcPr>
            <w:tcW w:w="917" w:type="pct"/>
            <w:vAlign w:val="center"/>
          </w:tcPr>
          <w:p>
            <w:pPr>
              <w:widowControl/>
              <w:spacing w:line="240" w:lineRule="exact"/>
              <w:ind w:firstLine="0" w:firstLineChars="0"/>
              <w:jc w:val="center"/>
              <w:textAlignment w:val="center"/>
              <w:rPr>
                <w:rFonts w:cs="仿宋_GB2312"/>
                <w:color w:val="000000" w:themeColor="text1"/>
                <w:kern w:val="0"/>
                <w:sz w:val="24"/>
              </w:rPr>
            </w:pPr>
            <w:r>
              <w:rPr>
                <w:rFonts w:hint="eastAsia" w:cs="仿宋_GB2312"/>
                <w:b/>
                <w:bCs/>
                <w:color w:val="000000" w:themeColor="text1"/>
                <w:kern w:val="0"/>
                <w:sz w:val="24"/>
              </w:rPr>
              <w:t>年度目标值</w:t>
            </w:r>
          </w:p>
        </w:tc>
        <w:tc>
          <w:tcPr>
            <w:tcW w:w="838" w:type="pct"/>
            <w:vAlign w:val="center"/>
          </w:tcPr>
          <w:p>
            <w:pPr>
              <w:widowControl/>
              <w:spacing w:line="240" w:lineRule="exact"/>
              <w:ind w:firstLine="0" w:firstLineChars="0"/>
              <w:jc w:val="center"/>
              <w:textAlignment w:val="center"/>
              <w:rPr>
                <w:rFonts w:cs="仿宋_GB2312"/>
                <w:b/>
                <w:bCs/>
                <w:color w:val="000000" w:themeColor="text1"/>
                <w:kern w:val="0"/>
                <w:sz w:val="24"/>
              </w:rPr>
            </w:pPr>
            <w:r>
              <w:rPr>
                <w:rFonts w:hint="eastAsia" w:cs="仿宋_GB2312"/>
                <w:b/>
                <w:bCs/>
                <w:color w:val="000000" w:themeColor="text1"/>
                <w:kern w:val="0"/>
                <w:sz w:val="24"/>
              </w:rPr>
              <w:t>年度实现值</w:t>
            </w:r>
          </w:p>
        </w:tc>
        <w:tc>
          <w:tcPr>
            <w:tcW w:w="674" w:type="pct"/>
            <w:vAlign w:val="center"/>
          </w:tcPr>
          <w:p>
            <w:pPr>
              <w:widowControl/>
              <w:spacing w:line="240" w:lineRule="exact"/>
              <w:ind w:firstLine="0" w:firstLineChars="0"/>
              <w:jc w:val="center"/>
              <w:textAlignment w:val="center"/>
              <w:rPr>
                <w:rFonts w:cs="仿宋_GB2312"/>
                <w:b/>
                <w:bCs/>
                <w:color w:val="000000" w:themeColor="text1"/>
                <w:kern w:val="0"/>
                <w:sz w:val="24"/>
              </w:rPr>
            </w:pPr>
            <w:r>
              <w:rPr>
                <w:rFonts w:hint="eastAsia" w:cs="仿宋_GB2312"/>
                <w:b/>
                <w:bCs/>
                <w:color w:val="000000" w:themeColor="text1"/>
                <w:kern w:val="0"/>
                <w:sz w:val="24"/>
              </w:rPr>
              <w:t>完成情况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250" w:type="pct"/>
            <w:vAlign w:val="center"/>
          </w:tcPr>
          <w:p>
            <w:pPr>
              <w:widowControl/>
              <w:spacing w:line="240" w:lineRule="exact"/>
              <w:ind w:firstLine="0" w:firstLineChars="0"/>
              <w:jc w:val="left"/>
              <w:textAlignment w:val="center"/>
              <w:rPr>
                <w:rFonts w:cs="宋体"/>
                <w:color w:val="000000" w:themeColor="text1"/>
                <w:kern w:val="0"/>
                <w:sz w:val="24"/>
                <w:szCs w:val="18"/>
              </w:rPr>
            </w:pPr>
            <w:r>
              <w:rPr>
                <w:rFonts w:hint="eastAsia" w:cs="宋体"/>
                <w:color w:val="000000" w:themeColor="text1"/>
                <w:kern w:val="0"/>
                <w:sz w:val="24"/>
                <w:szCs w:val="18"/>
              </w:rPr>
              <w:t>1</w:t>
            </w:r>
          </w:p>
        </w:tc>
        <w:tc>
          <w:tcPr>
            <w:tcW w:w="2319" w:type="pct"/>
            <w:vAlign w:val="center"/>
          </w:tcPr>
          <w:p>
            <w:pPr>
              <w:widowControl/>
              <w:shd w:val="clear" w:color="auto" w:fill="FFFFFF"/>
              <w:spacing w:after="120" w:line="330" w:lineRule="atLeast"/>
              <w:ind w:firstLine="0" w:firstLineChars="0"/>
              <w:textAlignment w:val="baseline"/>
              <w:rPr>
                <w:rFonts w:cs="宋体"/>
                <w:color w:val="000000" w:themeColor="text1"/>
                <w:kern w:val="0"/>
                <w:sz w:val="24"/>
                <w:szCs w:val="18"/>
              </w:rPr>
            </w:pPr>
            <w:r>
              <w:rPr>
                <w:rFonts w:hint="eastAsia" w:cs="宋体"/>
                <w:color w:val="000000" w:themeColor="text1"/>
                <w:kern w:val="0"/>
                <w:sz w:val="24"/>
                <w:szCs w:val="18"/>
              </w:rPr>
              <w:t>参加2022年世赛特别赛项目数量</w:t>
            </w:r>
          </w:p>
        </w:tc>
        <w:tc>
          <w:tcPr>
            <w:tcW w:w="917"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Times New Roman"/>
                <w:color w:val="000000" w:themeColor="text1"/>
                <w:kern w:val="0"/>
                <w:sz w:val="24"/>
              </w:rPr>
              <w:t>11个</w:t>
            </w:r>
          </w:p>
        </w:tc>
        <w:tc>
          <w:tcPr>
            <w:tcW w:w="838"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20"/>
              </w:rPr>
              <w:t>11（100%）</w:t>
            </w:r>
          </w:p>
        </w:tc>
        <w:tc>
          <w:tcPr>
            <w:tcW w:w="674"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250" w:type="pct"/>
            <w:vAlign w:val="center"/>
          </w:tcPr>
          <w:p>
            <w:pPr>
              <w:widowControl/>
              <w:spacing w:line="240" w:lineRule="exact"/>
              <w:ind w:firstLine="0" w:firstLineChars="0"/>
              <w:jc w:val="left"/>
              <w:textAlignment w:val="center"/>
              <w:rPr>
                <w:rFonts w:cs="宋体"/>
                <w:color w:val="000000" w:themeColor="text1"/>
                <w:kern w:val="0"/>
                <w:sz w:val="24"/>
                <w:szCs w:val="18"/>
              </w:rPr>
            </w:pPr>
            <w:r>
              <w:rPr>
                <w:rFonts w:hint="eastAsia" w:cs="宋体"/>
                <w:color w:val="000000" w:themeColor="text1"/>
                <w:kern w:val="0"/>
                <w:sz w:val="24"/>
                <w:szCs w:val="18"/>
              </w:rPr>
              <w:t>2</w:t>
            </w:r>
          </w:p>
        </w:tc>
        <w:tc>
          <w:tcPr>
            <w:tcW w:w="2319" w:type="pct"/>
            <w:vAlign w:val="center"/>
          </w:tcPr>
          <w:p>
            <w:pPr>
              <w:widowControl/>
              <w:shd w:val="clear" w:color="auto" w:fill="FFFFFF"/>
              <w:spacing w:after="120" w:line="330" w:lineRule="atLeast"/>
              <w:ind w:firstLine="0" w:firstLineChars="0"/>
              <w:textAlignment w:val="baseline"/>
              <w:rPr>
                <w:rFonts w:cs="宋体"/>
                <w:color w:val="000000" w:themeColor="text1"/>
                <w:kern w:val="0"/>
                <w:sz w:val="24"/>
                <w:szCs w:val="18"/>
              </w:rPr>
            </w:pPr>
            <w:r>
              <w:rPr>
                <w:rFonts w:hint="eastAsia" w:cs="宋体"/>
                <w:color w:val="000000" w:themeColor="text1"/>
                <w:kern w:val="0"/>
                <w:sz w:val="24"/>
                <w:szCs w:val="18"/>
              </w:rPr>
              <w:t>扶持创业企业（项目）数（户）</w:t>
            </w:r>
          </w:p>
        </w:tc>
        <w:tc>
          <w:tcPr>
            <w:tcW w:w="917"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18"/>
              </w:rPr>
              <w:t>≥9000个</w:t>
            </w:r>
          </w:p>
        </w:tc>
        <w:tc>
          <w:tcPr>
            <w:tcW w:w="838"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8142户</w:t>
            </w:r>
          </w:p>
        </w:tc>
        <w:tc>
          <w:tcPr>
            <w:tcW w:w="674"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90.5%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250" w:type="pct"/>
            <w:vAlign w:val="center"/>
          </w:tcPr>
          <w:p>
            <w:pPr>
              <w:widowControl/>
              <w:spacing w:line="240" w:lineRule="exact"/>
              <w:ind w:firstLine="0" w:firstLineChars="0"/>
              <w:jc w:val="left"/>
              <w:textAlignment w:val="center"/>
              <w:rPr>
                <w:rFonts w:cs="宋体"/>
                <w:color w:val="000000" w:themeColor="text1"/>
                <w:kern w:val="0"/>
                <w:sz w:val="24"/>
                <w:szCs w:val="18"/>
              </w:rPr>
            </w:pPr>
            <w:r>
              <w:rPr>
                <w:rFonts w:hint="eastAsia" w:cs="宋体"/>
                <w:color w:val="000000" w:themeColor="text1"/>
                <w:kern w:val="0"/>
                <w:sz w:val="24"/>
                <w:szCs w:val="18"/>
              </w:rPr>
              <w:t>3</w:t>
            </w:r>
          </w:p>
        </w:tc>
        <w:tc>
          <w:tcPr>
            <w:tcW w:w="2319" w:type="pct"/>
            <w:vAlign w:val="center"/>
          </w:tcPr>
          <w:p>
            <w:pPr>
              <w:widowControl/>
              <w:spacing w:line="240" w:lineRule="exact"/>
              <w:ind w:firstLine="0" w:firstLineChars="0"/>
              <w:jc w:val="left"/>
              <w:textAlignment w:val="center"/>
              <w:rPr>
                <w:rFonts w:cs="Times New Roman"/>
                <w:color w:val="000000" w:themeColor="text1"/>
                <w:kern w:val="0"/>
                <w:sz w:val="24"/>
              </w:rPr>
            </w:pPr>
            <w:r>
              <w:rPr>
                <w:rFonts w:hint="eastAsia" w:cs="宋体"/>
                <w:color w:val="000000" w:themeColor="text1"/>
                <w:kern w:val="0"/>
                <w:sz w:val="24"/>
                <w:szCs w:val="18"/>
              </w:rPr>
              <w:t>促进和帮助全省完成“粤菜师傅”培训目标（万人次）</w:t>
            </w:r>
          </w:p>
        </w:tc>
        <w:tc>
          <w:tcPr>
            <w:tcW w:w="917"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18"/>
              </w:rPr>
              <w:t>≥3.7万人次</w:t>
            </w:r>
          </w:p>
        </w:tc>
        <w:tc>
          <w:tcPr>
            <w:tcW w:w="838"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20"/>
              </w:rPr>
              <w:t>7.6万人次</w:t>
            </w:r>
          </w:p>
        </w:tc>
        <w:tc>
          <w:tcPr>
            <w:tcW w:w="674"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205.4%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250" w:type="pct"/>
            <w:vAlign w:val="center"/>
          </w:tcPr>
          <w:p>
            <w:pPr>
              <w:widowControl/>
              <w:spacing w:line="240" w:lineRule="exact"/>
              <w:ind w:firstLine="0" w:firstLineChars="0"/>
              <w:jc w:val="left"/>
              <w:textAlignment w:val="center"/>
              <w:rPr>
                <w:rFonts w:cs="宋体"/>
                <w:color w:val="000000" w:themeColor="text1"/>
                <w:kern w:val="0"/>
                <w:sz w:val="24"/>
                <w:szCs w:val="18"/>
              </w:rPr>
            </w:pPr>
            <w:r>
              <w:rPr>
                <w:rFonts w:hint="eastAsia" w:cs="宋体"/>
                <w:color w:val="000000" w:themeColor="text1"/>
                <w:kern w:val="0"/>
                <w:sz w:val="24"/>
                <w:szCs w:val="18"/>
              </w:rPr>
              <w:t>4</w:t>
            </w:r>
          </w:p>
        </w:tc>
        <w:tc>
          <w:tcPr>
            <w:tcW w:w="2319" w:type="pct"/>
            <w:vAlign w:val="center"/>
          </w:tcPr>
          <w:p>
            <w:pPr>
              <w:widowControl/>
              <w:spacing w:line="240" w:lineRule="exact"/>
              <w:ind w:firstLine="0" w:firstLineChars="0"/>
              <w:jc w:val="left"/>
              <w:textAlignment w:val="center"/>
              <w:rPr>
                <w:rFonts w:cs="Times New Roman"/>
                <w:color w:val="000000" w:themeColor="text1"/>
                <w:kern w:val="0"/>
                <w:sz w:val="24"/>
              </w:rPr>
            </w:pPr>
            <w:r>
              <w:rPr>
                <w:rFonts w:hint="eastAsia" w:cs="宋体"/>
                <w:color w:val="000000" w:themeColor="text1"/>
                <w:kern w:val="0"/>
                <w:sz w:val="24"/>
                <w:szCs w:val="18"/>
              </w:rPr>
              <w:t>技校毕业生初次就业率</w:t>
            </w:r>
          </w:p>
        </w:tc>
        <w:tc>
          <w:tcPr>
            <w:tcW w:w="917"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18"/>
              </w:rPr>
              <w:t>96%以上</w:t>
            </w:r>
          </w:p>
        </w:tc>
        <w:tc>
          <w:tcPr>
            <w:tcW w:w="838"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20"/>
              </w:rPr>
              <w:t>96.00%</w:t>
            </w:r>
          </w:p>
        </w:tc>
        <w:tc>
          <w:tcPr>
            <w:tcW w:w="674"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250" w:type="pct"/>
            <w:vAlign w:val="center"/>
          </w:tcPr>
          <w:p>
            <w:pPr>
              <w:widowControl/>
              <w:spacing w:line="240" w:lineRule="exact"/>
              <w:ind w:firstLine="0" w:firstLineChars="0"/>
              <w:jc w:val="left"/>
              <w:textAlignment w:val="center"/>
              <w:rPr>
                <w:rFonts w:cs="宋体"/>
                <w:color w:val="000000" w:themeColor="text1"/>
                <w:kern w:val="0"/>
                <w:sz w:val="24"/>
                <w:szCs w:val="18"/>
              </w:rPr>
            </w:pPr>
            <w:r>
              <w:rPr>
                <w:rFonts w:hint="eastAsia" w:cs="宋体"/>
                <w:color w:val="000000" w:themeColor="text1"/>
                <w:kern w:val="0"/>
                <w:sz w:val="24"/>
                <w:szCs w:val="18"/>
              </w:rPr>
              <w:t>5</w:t>
            </w:r>
          </w:p>
        </w:tc>
        <w:tc>
          <w:tcPr>
            <w:tcW w:w="2319" w:type="pct"/>
            <w:vAlign w:val="center"/>
          </w:tcPr>
          <w:p>
            <w:pPr>
              <w:widowControl/>
              <w:spacing w:line="240" w:lineRule="exact"/>
              <w:ind w:firstLine="0" w:firstLineChars="0"/>
              <w:jc w:val="left"/>
              <w:textAlignment w:val="center"/>
              <w:rPr>
                <w:rFonts w:cs="Times New Roman"/>
                <w:color w:val="000000" w:themeColor="text1"/>
                <w:kern w:val="0"/>
                <w:sz w:val="24"/>
              </w:rPr>
            </w:pPr>
            <w:r>
              <w:rPr>
                <w:rFonts w:hint="eastAsia" w:cs="宋体"/>
                <w:color w:val="000000" w:themeColor="text1"/>
                <w:kern w:val="0"/>
                <w:sz w:val="24"/>
                <w:szCs w:val="18"/>
              </w:rPr>
              <w:t>促进创业带动就业人次</w:t>
            </w:r>
          </w:p>
        </w:tc>
        <w:tc>
          <w:tcPr>
            <w:tcW w:w="917"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18"/>
              </w:rPr>
              <w:t>≥2.5万人次</w:t>
            </w:r>
          </w:p>
        </w:tc>
        <w:tc>
          <w:tcPr>
            <w:tcW w:w="838"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6.2万人</w:t>
            </w:r>
          </w:p>
        </w:tc>
        <w:tc>
          <w:tcPr>
            <w:tcW w:w="674"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248%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50" w:type="pct"/>
            <w:vAlign w:val="center"/>
          </w:tcPr>
          <w:p>
            <w:pPr>
              <w:widowControl/>
              <w:spacing w:line="240" w:lineRule="exact"/>
              <w:ind w:firstLine="0" w:firstLineChars="0"/>
              <w:jc w:val="left"/>
              <w:textAlignment w:val="center"/>
              <w:rPr>
                <w:rFonts w:cs="宋体"/>
                <w:color w:val="000000" w:themeColor="text1"/>
                <w:kern w:val="0"/>
                <w:sz w:val="24"/>
                <w:szCs w:val="18"/>
              </w:rPr>
            </w:pPr>
            <w:r>
              <w:rPr>
                <w:rFonts w:hint="eastAsia" w:cs="宋体"/>
                <w:color w:val="000000" w:themeColor="text1"/>
                <w:kern w:val="0"/>
                <w:sz w:val="24"/>
                <w:szCs w:val="18"/>
              </w:rPr>
              <w:t>6</w:t>
            </w:r>
          </w:p>
        </w:tc>
        <w:tc>
          <w:tcPr>
            <w:tcW w:w="2319" w:type="pct"/>
            <w:vAlign w:val="center"/>
          </w:tcPr>
          <w:p>
            <w:pPr>
              <w:widowControl/>
              <w:spacing w:line="240" w:lineRule="exact"/>
              <w:ind w:firstLine="0" w:firstLineChars="0"/>
              <w:jc w:val="left"/>
              <w:textAlignment w:val="center"/>
              <w:rPr>
                <w:rFonts w:cs="Times New Roman"/>
                <w:color w:val="000000" w:themeColor="text1"/>
                <w:kern w:val="0"/>
                <w:sz w:val="24"/>
              </w:rPr>
            </w:pPr>
            <w:r>
              <w:rPr>
                <w:rFonts w:hint="eastAsia" w:cs="宋体"/>
                <w:color w:val="000000" w:themeColor="text1"/>
                <w:kern w:val="0"/>
                <w:sz w:val="24"/>
                <w:szCs w:val="18"/>
              </w:rPr>
              <w:t>全省在站博士后数量占全国排名</w:t>
            </w:r>
          </w:p>
        </w:tc>
        <w:tc>
          <w:tcPr>
            <w:tcW w:w="917"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18"/>
              </w:rPr>
              <w:t>保持前三位</w:t>
            </w:r>
          </w:p>
        </w:tc>
        <w:tc>
          <w:tcPr>
            <w:tcW w:w="838"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20"/>
              </w:rPr>
              <w:t>第1</w:t>
            </w:r>
          </w:p>
        </w:tc>
        <w:tc>
          <w:tcPr>
            <w:tcW w:w="674"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250" w:type="pct"/>
            <w:vAlign w:val="center"/>
          </w:tcPr>
          <w:p>
            <w:pPr>
              <w:widowControl/>
              <w:spacing w:line="240" w:lineRule="exact"/>
              <w:ind w:firstLine="0" w:firstLineChars="0"/>
              <w:jc w:val="left"/>
              <w:textAlignment w:val="center"/>
              <w:rPr>
                <w:rFonts w:cs="宋体"/>
                <w:color w:val="000000" w:themeColor="text1"/>
                <w:kern w:val="0"/>
                <w:sz w:val="24"/>
                <w:szCs w:val="18"/>
              </w:rPr>
            </w:pPr>
            <w:r>
              <w:rPr>
                <w:rFonts w:hint="eastAsia" w:cs="宋体"/>
                <w:color w:val="000000" w:themeColor="text1"/>
                <w:kern w:val="0"/>
                <w:sz w:val="24"/>
                <w:szCs w:val="18"/>
              </w:rPr>
              <w:t>7</w:t>
            </w:r>
          </w:p>
        </w:tc>
        <w:tc>
          <w:tcPr>
            <w:tcW w:w="2319" w:type="pct"/>
            <w:vAlign w:val="center"/>
          </w:tcPr>
          <w:p>
            <w:pPr>
              <w:widowControl/>
              <w:spacing w:line="240" w:lineRule="exact"/>
              <w:ind w:firstLine="0" w:firstLineChars="0"/>
              <w:jc w:val="left"/>
              <w:textAlignment w:val="center"/>
              <w:rPr>
                <w:rFonts w:cs="Times New Roman"/>
                <w:color w:val="000000" w:themeColor="text1"/>
                <w:kern w:val="0"/>
                <w:sz w:val="24"/>
              </w:rPr>
            </w:pPr>
            <w:r>
              <w:rPr>
                <w:rFonts w:hint="eastAsia" w:cs="宋体"/>
                <w:color w:val="000000" w:themeColor="text1"/>
                <w:kern w:val="0"/>
                <w:sz w:val="24"/>
                <w:szCs w:val="18"/>
              </w:rPr>
              <w:t>全省开展“南粤家政”职业技能培训人次</w:t>
            </w:r>
          </w:p>
        </w:tc>
        <w:tc>
          <w:tcPr>
            <w:tcW w:w="917"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18"/>
              </w:rPr>
              <w:t>≥20万人次</w:t>
            </w:r>
          </w:p>
        </w:tc>
        <w:tc>
          <w:tcPr>
            <w:tcW w:w="838"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20"/>
              </w:rPr>
              <w:t>32.52万人次</w:t>
            </w:r>
          </w:p>
        </w:tc>
        <w:tc>
          <w:tcPr>
            <w:tcW w:w="674"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162.6%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250" w:type="pct"/>
            <w:vAlign w:val="center"/>
          </w:tcPr>
          <w:p>
            <w:pPr>
              <w:widowControl/>
              <w:spacing w:line="240" w:lineRule="exact"/>
              <w:ind w:firstLine="0" w:firstLineChars="0"/>
              <w:jc w:val="left"/>
              <w:textAlignment w:val="center"/>
              <w:rPr>
                <w:rFonts w:cs="宋体"/>
                <w:color w:val="000000" w:themeColor="text1"/>
                <w:kern w:val="0"/>
                <w:sz w:val="24"/>
                <w:szCs w:val="18"/>
              </w:rPr>
            </w:pPr>
            <w:r>
              <w:rPr>
                <w:rFonts w:hint="eastAsia" w:cs="宋体"/>
                <w:color w:val="000000" w:themeColor="text1"/>
                <w:kern w:val="0"/>
                <w:sz w:val="24"/>
                <w:szCs w:val="18"/>
              </w:rPr>
              <w:t>8</w:t>
            </w:r>
          </w:p>
        </w:tc>
        <w:tc>
          <w:tcPr>
            <w:tcW w:w="2319" w:type="pct"/>
            <w:vAlign w:val="center"/>
          </w:tcPr>
          <w:p>
            <w:pPr>
              <w:widowControl/>
              <w:spacing w:line="240" w:lineRule="exact"/>
              <w:ind w:firstLine="0" w:firstLineChars="0"/>
              <w:jc w:val="left"/>
              <w:textAlignment w:val="center"/>
              <w:rPr>
                <w:rFonts w:cs="Times New Roman"/>
                <w:color w:val="000000" w:themeColor="text1"/>
                <w:kern w:val="0"/>
                <w:sz w:val="24"/>
              </w:rPr>
            </w:pPr>
            <w:r>
              <w:rPr>
                <w:rFonts w:hint="eastAsia" w:cs="宋体"/>
                <w:color w:val="000000" w:themeColor="text1"/>
                <w:kern w:val="0"/>
                <w:sz w:val="24"/>
                <w:szCs w:val="18"/>
              </w:rPr>
              <w:t>劳动人事争议仲裁结案率</w:t>
            </w:r>
          </w:p>
        </w:tc>
        <w:tc>
          <w:tcPr>
            <w:tcW w:w="917"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18"/>
              </w:rPr>
              <w:t>≥90%</w:t>
            </w:r>
          </w:p>
        </w:tc>
        <w:tc>
          <w:tcPr>
            <w:tcW w:w="838" w:type="pct"/>
            <w:vAlign w:val="center"/>
          </w:tcPr>
          <w:p>
            <w:pPr>
              <w:widowControl/>
              <w:spacing w:line="240" w:lineRule="exact"/>
              <w:ind w:firstLine="0" w:firstLineChars="0"/>
              <w:jc w:val="center"/>
              <w:textAlignment w:val="center"/>
              <w:rPr>
                <w:rFonts w:cs="Times New Roman"/>
                <w:color w:val="000000" w:themeColor="text1"/>
                <w:kern w:val="0"/>
                <w:sz w:val="24"/>
              </w:rPr>
            </w:pPr>
            <w:r>
              <w:rPr>
                <w:rFonts w:hint="eastAsia" w:cs="宋体"/>
                <w:color w:val="000000" w:themeColor="text1"/>
                <w:kern w:val="0"/>
                <w:sz w:val="24"/>
                <w:szCs w:val="20"/>
              </w:rPr>
              <w:t>96.70%</w:t>
            </w:r>
          </w:p>
        </w:tc>
        <w:tc>
          <w:tcPr>
            <w:tcW w:w="674"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107.44%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trPr>
        <w:tc>
          <w:tcPr>
            <w:tcW w:w="250" w:type="pct"/>
            <w:vAlign w:val="center"/>
          </w:tcPr>
          <w:p>
            <w:pPr>
              <w:widowControl/>
              <w:spacing w:line="240" w:lineRule="exact"/>
              <w:ind w:firstLine="0" w:firstLineChars="0"/>
              <w:jc w:val="left"/>
              <w:textAlignment w:val="center"/>
              <w:rPr>
                <w:rFonts w:cs="宋体"/>
                <w:color w:val="000000" w:themeColor="text1"/>
                <w:kern w:val="0"/>
                <w:sz w:val="24"/>
                <w:szCs w:val="18"/>
              </w:rPr>
            </w:pPr>
            <w:r>
              <w:rPr>
                <w:rFonts w:hint="eastAsia" w:cs="宋体"/>
                <w:color w:val="000000" w:themeColor="text1"/>
                <w:kern w:val="0"/>
                <w:sz w:val="24"/>
                <w:szCs w:val="18"/>
              </w:rPr>
              <w:t>9</w:t>
            </w:r>
          </w:p>
        </w:tc>
        <w:tc>
          <w:tcPr>
            <w:tcW w:w="2319" w:type="pct"/>
            <w:vAlign w:val="center"/>
          </w:tcPr>
          <w:p>
            <w:pPr>
              <w:widowControl/>
              <w:spacing w:line="240" w:lineRule="exact"/>
              <w:ind w:firstLine="0" w:firstLineChars="0"/>
              <w:jc w:val="left"/>
              <w:textAlignment w:val="center"/>
              <w:rPr>
                <w:rFonts w:cs="宋体"/>
                <w:color w:val="000000" w:themeColor="text1"/>
                <w:kern w:val="0"/>
                <w:sz w:val="24"/>
                <w:szCs w:val="18"/>
              </w:rPr>
            </w:pPr>
            <w:r>
              <w:rPr>
                <w:rFonts w:hint="eastAsia" w:cs="宋体"/>
                <w:color w:val="000000" w:themeColor="text1"/>
                <w:kern w:val="0"/>
                <w:sz w:val="24"/>
                <w:szCs w:val="18"/>
              </w:rPr>
              <w:t>“粤菜师傅”“广东技工”“南粤家政”三项工程媒体报道次数</w:t>
            </w:r>
          </w:p>
        </w:tc>
        <w:tc>
          <w:tcPr>
            <w:tcW w:w="917" w:type="pct"/>
            <w:vAlign w:val="center"/>
          </w:tcPr>
          <w:p>
            <w:pPr>
              <w:widowControl/>
              <w:spacing w:line="240" w:lineRule="exact"/>
              <w:ind w:firstLine="0" w:firstLineChars="0"/>
              <w:jc w:val="center"/>
              <w:textAlignment w:val="center"/>
              <w:rPr>
                <w:rFonts w:cs="宋体"/>
                <w:color w:val="000000" w:themeColor="text1"/>
                <w:kern w:val="0"/>
                <w:sz w:val="24"/>
                <w:szCs w:val="18"/>
              </w:rPr>
            </w:pPr>
            <w:r>
              <w:rPr>
                <w:rFonts w:hint="eastAsia" w:cs="宋体"/>
                <w:color w:val="000000" w:themeColor="text1"/>
                <w:kern w:val="0"/>
                <w:sz w:val="24"/>
                <w:szCs w:val="18"/>
              </w:rPr>
              <w:t>≥10次</w:t>
            </w:r>
          </w:p>
        </w:tc>
        <w:tc>
          <w:tcPr>
            <w:tcW w:w="838" w:type="pct"/>
            <w:vAlign w:val="center"/>
          </w:tcPr>
          <w:p>
            <w:pPr>
              <w:widowControl/>
              <w:spacing w:line="240" w:lineRule="exact"/>
              <w:ind w:firstLine="0" w:firstLineChars="0"/>
              <w:jc w:val="center"/>
              <w:textAlignment w:val="center"/>
              <w:rPr>
                <w:rFonts w:cs="宋体"/>
                <w:color w:val="000000" w:themeColor="text1"/>
                <w:kern w:val="0"/>
                <w:sz w:val="24"/>
                <w:szCs w:val="20"/>
              </w:rPr>
            </w:pPr>
            <w:r>
              <w:rPr>
                <w:rFonts w:hint="eastAsia" w:cs="宋体"/>
                <w:color w:val="000000" w:themeColor="text1"/>
                <w:kern w:val="0"/>
                <w:sz w:val="24"/>
                <w:szCs w:val="20"/>
              </w:rPr>
              <w:t>人民日报等权威媒体发布14篇</w:t>
            </w:r>
          </w:p>
        </w:tc>
        <w:tc>
          <w:tcPr>
            <w:tcW w:w="674"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140%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250" w:type="pct"/>
            <w:vAlign w:val="center"/>
          </w:tcPr>
          <w:p>
            <w:pPr>
              <w:widowControl/>
              <w:spacing w:line="240" w:lineRule="exact"/>
              <w:ind w:firstLine="0" w:firstLineChars="0"/>
              <w:jc w:val="left"/>
              <w:textAlignment w:val="center"/>
              <w:rPr>
                <w:rFonts w:cs="宋体"/>
                <w:color w:val="000000" w:themeColor="text1"/>
                <w:kern w:val="0"/>
                <w:sz w:val="24"/>
                <w:szCs w:val="18"/>
              </w:rPr>
            </w:pPr>
            <w:r>
              <w:rPr>
                <w:rFonts w:hint="eastAsia" w:cs="宋体"/>
                <w:color w:val="000000" w:themeColor="text1"/>
                <w:kern w:val="0"/>
                <w:sz w:val="24"/>
                <w:szCs w:val="18"/>
              </w:rPr>
              <w:t>10</w:t>
            </w:r>
          </w:p>
        </w:tc>
        <w:tc>
          <w:tcPr>
            <w:tcW w:w="2319" w:type="pct"/>
            <w:vAlign w:val="center"/>
          </w:tcPr>
          <w:p>
            <w:pPr>
              <w:widowControl/>
              <w:spacing w:line="240" w:lineRule="exact"/>
              <w:ind w:firstLine="0" w:firstLineChars="0"/>
              <w:jc w:val="left"/>
              <w:textAlignment w:val="center"/>
              <w:rPr>
                <w:rFonts w:cs="宋体"/>
                <w:color w:val="000000" w:themeColor="text1"/>
                <w:kern w:val="0"/>
                <w:sz w:val="24"/>
                <w:szCs w:val="18"/>
              </w:rPr>
            </w:pPr>
            <w:r>
              <w:rPr>
                <w:rFonts w:hint="eastAsia" w:cs="宋体"/>
                <w:color w:val="000000" w:themeColor="text1"/>
                <w:kern w:val="0"/>
                <w:sz w:val="24"/>
                <w:szCs w:val="18"/>
              </w:rPr>
              <w:t>城乡居民养老保险月人均养老金水平</w:t>
            </w:r>
          </w:p>
        </w:tc>
        <w:tc>
          <w:tcPr>
            <w:tcW w:w="917" w:type="pct"/>
            <w:vAlign w:val="center"/>
          </w:tcPr>
          <w:p>
            <w:pPr>
              <w:widowControl/>
              <w:spacing w:line="240" w:lineRule="exact"/>
              <w:ind w:firstLine="0" w:firstLineChars="0"/>
              <w:jc w:val="center"/>
              <w:textAlignment w:val="center"/>
              <w:rPr>
                <w:rFonts w:cs="宋体"/>
                <w:color w:val="000000" w:themeColor="text1"/>
                <w:kern w:val="0"/>
                <w:sz w:val="24"/>
                <w:szCs w:val="18"/>
              </w:rPr>
            </w:pPr>
            <w:r>
              <w:rPr>
                <w:rFonts w:hint="eastAsia" w:cs="宋体"/>
                <w:color w:val="000000" w:themeColor="text1"/>
                <w:kern w:val="0"/>
                <w:sz w:val="24"/>
                <w:szCs w:val="18"/>
              </w:rPr>
              <w:t>不低于上年度水平</w:t>
            </w:r>
          </w:p>
        </w:tc>
        <w:tc>
          <w:tcPr>
            <w:tcW w:w="838" w:type="pct"/>
            <w:vAlign w:val="center"/>
          </w:tcPr>
          <w:p>
            <w:pPr>
              <w:widowControl/>
              <w:spacing w:line="240" w:lineRule="exact"/>
              <w:ind w:firstLine="0" w:firstLineChars="0"/>
              <w:jc w:val="center"/>
              <w:textAlignment w:val="center"/>
              <w:rPr>
                <w:rFonts w:cs="宋体"/>
                <w:color w:val="000000" w:themeColor="text1"/>
                <w:kern w:val="0"/>
                <w:sz w:val="24"/>
                <w:szCs w:val="20"/>
              </w:rPr>
            </w:pPr>
            <w:r>
              <w:rPr>
                <w:rFonts w:hint="eastAsia" w:cs="宋体"/>
                <w:color w:val="000000" w:themeColor="text1"/>
                <w:kern w:val="0"/>
                <w:sz w:val="24"/>
                <w:szCs w:val="20"/>
              </w:rPr>
              <w:t>264元</w:t>
            </w:r>
          </w:p>
        </w:tc>
        <w:tc>
          <w:tcPr>
            <w:tcW w:w="674"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50" w:type="pct"/>
            <w:vAlign w:val="center"/>
          </w:tcPr>
          <w:p>
            <w:pPr>
              <w:widowControl/>
              <w:spacing w:line="240" w:lineRule="exact"/>
              <w:ind w:firstLine="0" w:firstLineChars="0"/>
              <w:jc w:val="left"/>
              <w:textAlignment w:val="center"/>
              <w:rPr>
                <w:rFonts w:cs="宋体"/>
                <w:color w:val="000000" w:themeColor="text1"/>
                <w:kern w:val="0"/>
                <w:sz w:val="24"/>
                <w:szCs w:val="18"/>
              </w:rPr>
            </w:pPr>
            <w:r>
              <w:rPr>
                <w:rFonts w:hint="eastAsia" w:cs="宋体"/>
                <w:color w:val="000000" w:themeColor="text1"/>
                <w:kern w:val="0"/>
                <w:sz w:val="24"/>
                <w:szCs w:val="18"/>
              </w:rPr>
              <w:t>11</w:t>
            </w:r>
          </w:p>
        </w:tc>
        <w:tc>
          <w:tcPr>
            <w:tcW w:w="2319" w:type="pct"/>
            <w:vAlign w:val="center"/>
          </w:tcPr>
          <w:p>
            <w:pPr>
              <w:widowControl/>
              <w:spacing w:line="240" w:lineRule="exact"/>
              <w:ind w:firstLine="0" w:firstLineChars="0"/>
              <w:jc w:val="left"/>
              <w:textAlignment w:val="center"/>
              <w:rPr>
                <w:rFonts w:cs="宋体"/>
                <w:color w:val="000000" w:themeColor="text1"/>
                <w:kern w:val="0"/>
                <w:sz w:val="24"/>
                <w:szCs w:val="18"/>
              </w:rPr>
            </w:pPr>
            <w:r>
              <w:rPr>
                <w:rFonts w:hint="eastAsia" w:cs="宋体"/>
                <w:color w:val="000000" w:themeColor="text1"/>
                <w:kern w:val="0"/>
                <w:sz w:val="24"/>
                <w:szCs w:val="18"/>
              </w:rPr>
              <w:t>劳动人事争议调解群众综合评价满意度</w:t>
            </w:r>
          </w:p>
        </w:tc>
        <w:tc>
          <w:tcPr>
            <w:tcW w:w="917" w:type="pct"/>
            <w:vAlign w:val="center"/>
          </w:tcPr>
          <w:p>
            <w:pPr>
              <w:widowControl/>
              <w:spacing w:line="240" w:lineRule="exact"/>
              <w:ind w:firstLine="0" w:firstLineChars="0"/>
              <w:jc w:val="center"/>
              <w:textAlignment w:val="center"/>
              <w:rPr>
                <w:rFonts w:cs="宋体"/>
                <w:color w:val="000000" w:themeColor="text1"/>
                <w:kern w:val="0"/>
                <w:sz w:val="24"/>
                <w:szCs w:val="18"/>
              </w:rPr>
            </w:pPr>
            <w:r>
              <w:rPr>
                <w:rFonts w:hint="eastAsia" w:cs="宋体"/>
                <w:color w:val="000000" w:themeColor="text1"/>
                <w:kern w:val="0"/>
                <w:sz w:val="24"/>
                <w:szCs w:val="18"/>
              </w:rPr>
              <w:t>≥90%</w:t>
            </w:r>
          </w:p>
        </w:tc>
        <w:tc>
          <w:tcPr>
            <w:tcW w:w="838" w:type="pct"/>
            <w:vAlign w:val="center"/>
          </w:tcPr>
          <w:p>
            <w:pPr>
              <w:widowControl/>
              <w:spacing w:line="240" w:lineRule="exact"/>
              <w:ind w:firstLine="0" w:firstLineChars="0"/>
              <w:jc w:val="center"/>
              <w:textAlignment w:val="center"/>
              <w:rPr>
                <w:rFonts w:cs="宋体"/>
                <w:color w:val="000000" w:themeColor="text1"/>
                <w:kern w:val="0"/>
                <w:sz w:val="24"/>
                <w:szCs w:val="20"/>
              </w:rPr>
            </w:pPr>
            <w:r>
              <w:rPr>
                <w:rFonts w:hint="eastAsia" w:cs="宋体"/>
                <w:color w:val="000000" w:themeColor="text1"/>
                <w:kern w:val="0"/>
                <w:sz w:val="24"/>
                <w:szCs w:val="20"/>
              </w:rPr>
              <w:t>97%</w:t>
            </w:r>
          </w:p>
        </w:tc>
        <w:tc>
          <w:tcPr>
            <w:tcW w:w="674"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107.78%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250" w:type="pct"/>
            <w:vAlign w:val="center"/>
          </w:tcPr>
          <w:p>
            <w:pPr>
              <w:widowControl/>
              <w:spacing w:line="240" w:lineRule="exact"/>
              <w:ind w:firstLine="0" w:firstLineChars="0"/>
              <w:jc w:val="left"/>
              <w:textAlignment w:val="center"/>
              <w:rPr>
                <w:rFonts w:cs="宋体"/>
                <w:color w:val="000000" w:themeColor="text1"/>
                <w:kern w:val="0"/>
                <w:sz w:val="24"/>
                <w:szCs w:val="18"/>
              </w:rPr>
            </w:pPr>
            <w:r>
              <w:rPr>
                <w:rFonts w:hint="eastAsia" w:cs="宋体"/>
                <w:color w:val="000000" w:themeColor="text1"/>
                <w:kern w:val="0"/>
                <w:sz w:val="24"/>
                <w:szCs w:val="18"/>
              </w:rPr>
              <w:t>12</w:t>
            </w:r>
          </w:p>
        </w:tc>
        <w:tc>
          <w:tcPr>
            <w:tcW w:w="2319" w:type="pct"/>
            <w:vAlign w:val="center"/>
          </w:tcPr>
          <w:p>
            <w:pPr>
              <w:widowControl/>
              <w:spacing w:line="240" w:lineRule="exact"/>
              <w:ind w:firstLine="0" w:firstLineChars="0"/>
              <w:jc w:val="left"/>
              <w:textAlignment w:val="center"/>
              <w:rPr>
                <w:rFonts w:cs="宋体"/>
                <w:color w:val="000000" w:themeColor="text1"/>
                <w:kern w:val="0"/>
                <w:sz w:val="24"/>
                <w:szCs w:val="18"/>
              </w:rPr>
            </w:pPr>
            <w:r>
              <w:rPr>
                <w:rFonts w:hint="eastAsia" w:cs="宋体"/>
                <w:color w:val="000000" w:themeColor="text1"/>
                <w:kern w:val="0"/>
                <w:sz w:val="24"/>
                <w:szCs w:val="18"/>
              </w:rPr>
              <w:t>就业扶持政策经办服务满意度</w:t>
            </w:r>
          </w:p>
        </w:tc>
        <w:tc>
          <w:tcPr>
            <w:tcW w:w="917" w:type="pct"/>
            <w:vAlign w:val="center"/>
          </w:tcPr>
          <w:p>
            <w:pPr>
              <w:widowControl/>
              <w:spacing w:line="240" w:lineRule="exact"/>
              <w:ind w:firstLine="0" w:firstLineChars="0"/>
              <w:jc w:val="center"/>
              <w:textAlignment w:val="center"/>
              <w:rPr>
                <w:rFonts w:cs="宋体"/>
                <w:color w:val="000000" w:themeColor="text1"/>
                <w:kern w:val="0"/>
                <w:sz w:val="24"/>
                <w:szCs w:val="18"/>
              </w:rPr>
            </w:pPr>
            <w:r>
              <w:rPr>
                <w:rFonts w:hint="eastAsia" w:cs="宋体"/>
                <w:color w:val="000000" w:themeColor="text1"/>
                <w:kern w:val="0"/>
                <w:sz w:val="24"/>
                <w:szCs w:val="18"/>
              </w:rPr>
              <w:t>≥90%</w:t>
            </w:r>
          </w:p>
        </w:tc>
        <w:tc>
          <w:tcPr>
            <w:tcW w:w="838" w:type="pct"/>
            <w:vAlign w:val="center"/>
          </w:tcPr>
          <w:p>
            <w:pPr>
              <w:spacing w:line="240" w:lineRule="exact"/>
              <w:ind w:firstLine="0" w:firstLineChars="0"/>
              <w:jc w:val="center"/>
              <w:rPr>
                <w:rFonts w:cs="宋体"/>
                <w:color w:val="000000" w:themeColor="text1"/>
                <w:kern w:val="0"/>
                <w:sz w:val="24"/>
                <w:szCs w:val="20"/>
              </w:rPr>
            </w:pPr>
            <w:r>
              <w:rPr>
                <w:rFonts w:hint="eastAsia" w:cs="宋体"/>
                <w:color w:val="000000" w:themeColor="text1"/>
                <w:kern w:val="0"/>
                <w:sz w:val="24"/>
                <w:szCs w:val="20"/>
              </w:rPr>
              <w:t>99.99%</w:t>
            </w:r>
          </w:p>
        </w:tc>
        <w:tc>
          <w:tcPr>
            <w:tcW w:w="674" w:type="pct"/>
            <w:vAlign w:val="center"/>
          </w:tcPr>
          <w:p>
            <w:pPr>
              <w:spacing w:line="240" w:lineRule="exact"/>
              <w:ind w:firstLine="0" w:firstLineChars="0"/>
              <w:jc w:val="center"/>
              <w:rPr>
                <w:rFonts w:cs="Times New Roman"/>
                <w:color w:val="000000" w:themeColor="text1"/>
                <w:kern w:val="0"/>
                <w:sz w:val="24"/>
              </w:rPr>
            </w:pPr>
            <w:r>
              <w:rPr>
                <w:rFonts w:hint="eastAsia" w:cs="Times New Roman"/>
                <w:color w:val="000000" w:themeColor="text1"/>
                <w:kern w:val="0"/>
                <w:sz w:val="24"/>
              </w:rPr>
              <w:t>111.1%</w:t>
            </w:r>
          </w:p>
        </w:tc>
      </w:tr>
    </w:tbl>
    <w:p>
      <w:pPr>
        <w:ind w:firstLine="640"/>
        <w:rPr>
          <w:color w:val="000000" w:themeColor="text1"/>
        </w:rPr>
      </w:pPr>
      <w:r>
        <w:rPr>
          <w:rFonts w:hint="eastAsia"/>
          <w:color w:val="000000" w:themeColor="text1"/>
        </w:rPr>
        <w:t>注：第46届世赛（63项目）取消，由2022年世赛特别赛取代。中国队参加其中34项目，广东代表国家出战其中11项目。</w:t>
      </w:r>
    </w:p>
    <w:p>
      <w:pPr>
        <w:ind w:firstLine="640"/>
        <w:rPr>
          <w:color w:val="000000" w:themeColor="text1"/>
        </w:rPr>
      </w:pPr>
      <w:r>
        <w:rPr>
          <w:rFonts w:hint="eastAsia"/>
          <w:color w:val="000000" w:themeColor="text1"/>
        </w:rPr>
        <w:t>（3）部门预算资金支出率</w:t>
      </w:r>
      <w:r>
        <w:rPr>
          <w:color w:val="000000" w:themeColor="text1"/>
        </w:rPr>
        <w:t>。</w:t>
      </w:r>
    </w:p>
    <w:p>
      <w:pPr>
        <w:widowControl/>
        <w:ind w:firstLine="640"/>
        <w:rPr>
          <w:rFonts w:cs="Times New Roman"/>
          <w:color w:val="000000" w:themeColor="text1"/>
        </w:rPr>
      </w:pPr>
      <w:r>
        <w:rPr>
          <w:rFonts w:hint="eastAsia" w:cs="Times New Roman"/>
          <w:color w:val="000000" w:themeColor="text1"/>
          <w:kern w:val="0"/>
          <w:szCs w:val="31"/>
        </w:rPr>
        <w:t>财政部门通报各部门各季度支出进度，我厅平均支出进度≥62.5%，</w:t>
      </w:r>
      <w:r>
        <w:rPr>
          <w:rFonts w:hint="eastAsia" w:cs="Times New Roman"/>
          <w:color w:val="000000" w:themeColor="text1"/>
          <w:szCs w:val="32"/>
        </w:rPr>
        <w:t>根据省财政厅提供数据，</w:t>
      </w:r>
      <w:r>
        <w:rPr>
          <w:rFonts w:hint="eastAsia" w:cs="Times New Roman"/>
          <w:color w:val="000000" w:themeColor="text1"/>
          <w:kern w:val="0"/>
          <w:szCs w:val="31"/>
        </w:rPr>
        <w:t>此项指标分值5分，得分5分，得分率100%。</w:t>
      </w:r>
    </w:p>
    <w:p>
      <w:pPr>
        <w:pStyle w:val="4"/>
        <w:ind w:firstLine="643"/>
        <w:rPr>
          <w:color w:val="000000" w:themeColor="text1"/>
        </w:rPr>
      </w:pPr>
      <w:r>
        <w:rPr>
          <w:rFonts w:hint="eastAsia"/>
          <w:color w:val="000000" w:themeColor="text1"/>
        </w:rPr>
        <w:t>2.专项效能</w:t>
      </w:r>
      <w:r>
        <w:rPr>
          <w:color w:val="000000" w:themeColor="text1"/>
        </w:rPr>
        <w:t>。</w:t>
      </w:r>
      <w:bookmarkEnd w:id="15"/>
    </w:p>
    <w:p>
      <w:pPr>
        <w:widowControl/>
        <w:ind w:firstLine="640"/>
        <w:rPr>
          <w:color w:val="000000" w:themeColor="text1"/>
        </w:rPr>
      </w:pPr>
      <w:r>
        <w:rPr>
          <w:rFonts w:hint="eastAsia" w:cs="仿宋_GB2312"/>
          <w:color w:val="000000" w:themeColor="text1"/>
          <w:szCs w:val="32"/>
        </w:rPr>
        <w:t>该指标下设“专项资金绩效完成情况”“部门主管转移资金支出率”2个三级指标评价本年度部门专项资金绩效情况。</w:t>
      </w:r>
      <w:r>
        <w:rPr>
          <w:rFonts w:hint="eastAsia" w:cs="仿宋_GB2312"/>
          <w:color w:val="000000" w:themeColor="text1"/>
          <w:kern w:val="0"/>
          <w:szCs w:val="32"/>
        </w:rPr>
        <w:t>根据各专项资金单位产出、效益指标完成情况和部门主管转移资金支出进度，</w:t>
      </w:r>
      <w:r>
        <w:rPr>
          <w:rFonts w:hint="eastAsia" w:cs="仿宋_GB2312"/>
          <w:color w:val="000000" w:themeColor="text1"/>
          <w:kern w:val="0"/>
          <w:szCs w:val="31"/>
        </w:rPr>
        <w:t>该指标分值25分，自评得分24.39分，得分率97.56%。</w:t>
      </w:r>
    </w:p>
    <w:p>
      <w:pPr>
        <w:ind w:firstLine="640"/>
        <w:rPr>
          <w:color w:val="000000" w:themeColor="text1"/>
        </w:rPr>
      </w:pPr>
      <w:r>
        <w:rPr>
          <w:rFonts w:hint="eastAsia" w:cs="仿宋_GB2312"/>
          <w:color w:val="000000" w:themeColor="text1"/>
          <w:szCs w:val="32"/>
        </w:rPr>
        <w:t>本年度我厅专项资金安排了两笔专项资金：一是2022年省级就业创业发展专项资金198,785万元。</w:t>
      </w:r>
      <w:r>
        <w:rPr>
          <w:rFonts w:cs="Times New Roman"/>
          <w:color w:val="000000" w:themeColor="text1"/>
          <w:szCs w:val="32"/>
        </w:rPr>
        <w:t>主要用于</w:t>
      </w:r>
      <w:r>
        <w:rPr>
          <w:rFonts w:hint="eastAsia" w:cs="Times New Roman"/>
          <w:color w:val="000000" w:themeColor="text1"/>
          <w:szCs w:val="32"/>
        </w:rPr>
        <w:t>技工教育发展，开展技工院校建设和技能竞赛；用于职业技能培训，包括“三项工程”基地建设、创业担保贷款贴息和奖补、农村电商和圆梦计划；用于公共就业创业服务，落实人社公共能力平台建设、省级就业政策性补助。二是科技创新战略（人才发展）专项资金45,059万元，主要用于扬帆计划——引进紧缺拔尖人才，博士博士后人才专项，省青年优秀科研人才国际培养计划，南粤突出贡献和创新奖以及人才驿站项目。</w:t>
      </w:r>
    </w:p>
    <w:p>
      <w:pPr>
        <w:ind w:firstLine="640"/>
        <w:rPr>
          <w:color w:val="000000" w:themeColor="text1"/>
        </w:rPr>
      </w:pPr>
      <w:r>
        <w:rPr>
          <w:rFonts w:hint="eastAsia"/>
          <w:color w:val="000000" w:themeColor="text1"/>
        </w:rPr>
        <w:t>（1）专项资金绩效完成情况</w:t>
      </w:r>
      <w:r>
        <w:rPr>
          <w:color w:val="000000" w:themeColor="text1"/>
        </w:rPr>
        <w:t>。</w:t>
      </w:r>
    </w:p>
    <w:p>
      <w:pPr>
        <w:ind w:firstLine="640"/>
        <w:rPr>
          <w:color w:val="000000" w:themeColor="text1"/>
        </w:rPr>
      </w:pPr>
      <w:r>
        <w:rPr>
          <w:rFonts w:hint="eastAsia"/>
          <w:color w:val="000000" w:themeColor="text1"/>
        </w:rPr>
        <w:t>该指标反映部门专项资金绩效目标的完成情况。根据2022年度促进就业创业发展专项资金“技工院校建设”项目绩效自评报告，自评得分98.5分；2022年度促进就业创业发展专项资金“技能竞赛”项目绩效自评报告，自评得分93.21分；2022年度促进就业创业发展专项资金“三项工程”实训基地建设项目绩效自评报告，自评得分97.64分；2022年度促进就业创业发展专项资金“创业担保贷款贴息和奖补”项目绩效自评报告，自评得分94.37分；2022年度促进就业创业发展专项资金“圆梦计划”项目绩效自评报告，自评得分97.99分；2022年度促进就业创业发展专项资金“就业创业政策性补贴及专项服务补助”项目绩效自评报告，自评得分96.8分；2022年度促进就业创业发展专项资金“人力资源社会保障公共服务能力和平台建设”项目绩效自评报告，自评得分97.11分；2022年度促进就业创业发展专项资金得分97.75分。根据2022年度科技创新人才发展专项资金“博士博士后人才专项”项目绩效自评报告，自评得分95.5分；2022年度科技创新人才发展专项资金“省青年优秀科研人才国际培养计划”项目绩效自评报告，自评得分9</w:t>
      </w:r>
      <w:r>
        <w:rPr>
          <w:rFonts w:hint="eastAsia"/>
          <w:color w:val="000000" w:themeColor="text1"/>
          <w:lang w:val="en-US" w:eastAsia="zh-CN"/>
        </w:rPr>
        <w:t>7</w:t>
      </w:r>
      <w:r>
        <w:rPr>
          <w:rFonts w:hint="eastAsia"/>
          <w:color w:val="000000" w:themeColor="text1"/>
        </w:rPr>
        <w:t>分；2022年度科技创新人才发展专项资金“南粤突出贡献和创新奖”项目绩效自评报告，自评得分99.8分；2022年度科技创新人才发展专项资金“扬帆计划”项目绩效自评报告，自评得分99分；2022年度科技创新人才发展专项资金“人才驿站”项目绩效自评报告，自评得分98分；2022年度科技创新人才发展专项资金得分95.63分；参照评分标准，按照各专项资金额度占部门所有专项资金额度的比重，对各专项资金得分进行加权平均，专项资金综合得分97.35分。此项指标分值20分，自评得分19.47分，得分率97.35%。</w:t>
      </w:r>
    </w:p>
    <w:p>
      <w:pPr>
        <w:ind w:firstLine="640"/>
        <w:rPr>
          <w:color w:val="000000" w:themeColor="text1"/>
        </w:rPr>
      </w:pPr>
      <w:r>
        <w:rPr>
          <w:rFonts w:hint="eastAsia"/>
          <w:color w:val="000000" w:themeColor="text1"/>
        </w:rPr>
        <w:t>（2）部门主管转移资金支出率</w:t>
      </w:r>
      <w:r>
        <w:rPr>
          <w:color w:val="000000" w:themeColor="text1"/>
        </w:rPr>
        <w:t>。</w:t>
      </w:r>
    </w:p>
    <w:p>
      <w:pPr>
        <w:ind w:firstLine="640"/>
        <w:rPr>
          <w:color w:val="000000" w:themeColor="text1"/>
        </w:rPr>
      </w:pPr>
      <w:r>
        <w:rPr>
          <w:rFonts w:hint="eastAsia"/>
          <w:color w:val="000000" w:themeColor="text1"/>
        </w:rPr>
        <w:t>根据《全省各地市和省属各单位主管资金1-12月支出情况表》，部门主管转移资金（一般公共预算）支出数为1,954,867万元，部门主管转移资金（一般公共预算）下达（安排）数1,983,681万元，则部门主管转移资金（一般公共预算）支出进度为98.55%。</w:t>
      </w:r>
      <w:r>
        <w:rPr>
          <w:rFonts w:hint="eastAsia" w:cs="Times New Roman"/>
          <w:color w:val="000000" w:themeColor="text1"/>
          <w:szCs w:val="32"/>
        </w:rPr>
        <w:t>根据省财政厅提供数据，</w:t>
      </w:r>
      <w:r>
        <w:rPr>
          <w:rFonts w:hint="eastAsia"/>
          <w:color w:val="000000" w:themeColor="text1"/>
        </w:rPr>
        <w:t>此项指标分值5分，得分4.92分，得分率98.4%。</w:t>
      </w:r>
    </w:p>
    <w:p>
      <w:pPr>
        <w:pStyle w:val="3"/>
        <w:numPr>
          <w:ilvl w:val="0"/>
          <w:numId w:val="3"/>
        </w:numPr>
        <w:ind w:left="0" w:firstLine="643"/>
        <w:rPr>
          <w:b/>
          <w:bCs/>
          <w:color w:val="000000" w:themeColor="text1"/>
        </w:rPr>
      </w:pPr>
      <w:bookmarkStart w:id="16" w:name="_Toc5215"/>
      <w:r>
        <w:rPr>
          <w:rFonts w:hint="eastAsia"/>
          <w:b/>
          <w:bCs/>
          <w:color w:val="000000" w:themeColor="text1"/>
        </w:rPr>
        <w:t>管理效率分析</w:t>
      </w:r>
      <w:bookmarkEnd w:id="16"/>
      <w:r>
        <w:rPr>
          <w:rFonts w:hint="eastAsia"/>
          <w:b/>
          <w:bCs/>
          <w:color w:val="000000" w:themeColor="text1"/>
        </w:rPr>
        <w:t>。</w:t>
      </w:r>
    </w:p>
    <w:p>
      <w:pPr>
        <w:ind w:firstLine="640"/>
        <w:rPr>
          <w:color w:val="000000" w:themeColor="text1"/>
        </w:rPr>
      </w:pPr>
      <w:r>
        <w:rPr>
          <w:color w:val="000000" w:themeColor="text1"/>
        </w:rPr>
        <w:t>该指标下设“</w:t>
      </w:r>
      <w:r>
        <w:rPr>
          <w:rFonts w:hint="eastAsia"/>
          <w:color w:val="000000" w:themeColor="text1"/>
        </w:rPr>
        <w:t>预算编制”“预算执行”“信息公开</w:t>
      </w:r>
      <w:r>
        <w:rPr>
          <w:color w:val="000000" w:themeColor="text1"/>
        </w:rPr>
        <w:t>”</w:t>
      </w:r>
      <w:r>
        <w:rPr>
          <w:rFonts w:hint="eastAsia"/>
          <w:color w:val="000000" w:themeColor="text1"/>
        </w:rPr>
        <w:t>“绩效管理”“采购管理”“资产管理”“运行成本”</w:t>
      </w:r>
      <w:r>
        <w:rPr>
          <w:color w:val="000000" w:themeColor="text1"/>
        </w:rPr>
        <w:t>等</w:t>
      </w:r>
      <w:r>
        <w:rPr>
          <w:rFonts w:hint="eastAsia"/>
          <w:color w:val="000000" w:themeColor="text1"/>
        </w:rPr>
        <w:t>7</w:t>
      </w:r>
      <w:r>
        <w:rPr>
          <w:color w:val="000000" w:themeColor="text1"/>
        </w:rPr>
        <w:t>个</w:t>
      </w:r>
      <w:r>
        <w:rPr>
          <w:rFonts w:hint="eastAsia"/>
          <w:color w:val="000000" w:themeColor="text1"/>
        </w:rPr>
        <w:t>二</w:t>
      </w:r>
      <w:r>
        <w:rPr>
          <w:color w:val="000000" w:themeColor="text1"/>
        </w:rPr>
        <w:t>级指标。</w:t>
      </w:r>
      <w:r>
        <w:rPr>
          <w:rFonts w:hint="eastAsia"/>
          <w:color w:val="000000" w:themeColor="text1"/>
        </w:rPr>
        <w:t>该指标分值50分，自评得分44.84分，得分率89.68%。</w:t>
      </w:r>
    </w:p>
    <w:p>
      <w:pPr>
        <w:pStyle w:val="4"/>
        <w:ind w:firstLine="643"/>
        <w:rPr>
          <w:color w:val="000000" w:themeColor="text1"/>
        </w:rPr>
      </w:pPr>
      <w:bookmarkStart w:id="17" w:name="_Toc8005"/>
      <w:r>
        <w:rPr>
          <w:rFonts w:hint="eastAsia"/>
          <w:color w:val="000000" w:themeColor="text1"/>
        </w:rPr>
        <w:t>1.预算编制。</w:t>
      </w:r>
      <w:bookmarkEnd w:id="17"/>
    </w:p>
    <w:p>
      <w:pPr>
        <w:widowControl/>
        <w:ind w:firstLine="640"/>
        <w:rPr>
          <w:color w:val="000000" w:themeColor="text1"/>
        </w:rPr>
      </w:pPr>
      <w:r>
        <w:rPr>
          <w:rFonts w:cs="仿宋_GB2312"/>
          <w:color w:val="000000" w:themeColor="text1"/>
          <w:kern w:val="0"/>
          <w:szCs w:val="32"/>
        </w:rPr>
        <w:t>该指标下设</w:t>
      </w:r>
      <w:r>
        <w:rPr>
          <w:rFonts w:hint="eastAsia" w:eastAsia="宋体" w:cs="Times New Roman"/>
          <w:color w:val="000000" w:themeColor="text1"/>
          <w:kern w:val="0"/>
          <w:szCs w:val="32"/>
        </w:rPr>
        <w:t>“</w:t>
      </w:r>
      <w:r>
        <w:rPr>
          <w:rFonts w:hint="eastAsia" w:cs="仿宋_GB2312"/>
          <w:color w:val="000000" w:themeColor="text1"/>
          <w:kern w:val="0"/>
          <w:szCs w:val="32"/>
        </w:rPr>
        <w:t>项目入库率”“储备的二级项目使用率</w:t>
      </w:r>
      <w:r>
        <w:rPr>
          <w:rFonts w:hint="eastAsia" w:eastAsia="宋体" w:cs="Times New Roman"/>
          <w:color w:val="000000" w:themeColor="text1"/>
          <w:kern w:val="0"/>
          <w:szCs w:val="32"/>
        </w:rPr>
        <w:t>”</w:t>
      </w:r>
      <w:r>
        <w:rPr>
          <w:rFonts w:cs="仿宋_GB2312"/>
          <w:color w:val="000000" w:themeColor="text1"/>
          <w:kern w:val="0"/>
          <w:szCs w:val="32"/>
        </w:rPr>
        <w:t>及</w:t>
      </w:r>
      <w:r>
        <w:rPr>
          <w:rFonts w:hint="eastAsia" w:eastAsia="宋体" w:cs="Times New Roman"/>
          <w:color w:val="000000" w:themeColor="text1"/>
          <w:kern w:val="0"/>
          <w:szCs w:val="32"/>
        </w:rPr>
        <w:t>“</w:t>
      </w:r>
      <w:r>
        <w:rPr>
          <w:rFonts w:hint="eastAsia" w:cs="仿宋_GB2312"/>
          <w:color w:val="000000" w:themeColor="text1"/>
          <w:kern w:val="0"/>
          <w:szCs w:val="32"/>
        </w:rPr>
        <w:t>新增预算项目事前绩效评估</w:t>
      </w:r>
      <w:r>
        <w:rPr>
          <w:rFonts w:hint="eastAsia" w:eastAsia="宋体" w:cs="Times New Roman"/>
          <w:color w:val="000000" w:themeColor="text1"/>
          <w:kern w:val="0"/>
          <w:szCs w:val="32"/>
        </w:rPr>
        <w:t>”</w:t>
      </w:r>
      <w:r>
        <w:rPr>
          <w:rFonts w:eastAsia="宋体" w:cs="Times New Roman"/>
          <w:color w:val="000000" w:themeColor="text1"/>
          <w:kern w:val="0"/>
          <w:szCs w:val="32"/>
        </w:rPr>
        <w:t>3</w:t>
      </w:r>
      <w:r>
        <w:rPr>
          <w:rFonts w:cs="仿宋_GB2312"/>
          <w:color w:val="000000" w:themeColor="text1"/>
          <w:kern w:val="0"/>
          <w:szCs w:val="32"/>
        </w:rPr>
        <w:t>个三级指标。</w:t>
      </w:r>
      <w:r>
        <w:rPr>
          <w:rFonts w:hint="eastAsia" w:cs="仿宋_GB2312"/>
          <w:color w:val="000000" w:themeColor="text1"/>
          <w:kern w:val="0"/>
          <w:szCs w:val="32"/>
        </w:rPr>
        <w:t>该指标分值5分，自评得分5分，得分率100%。</w:t>
      </w:r>
    </w:p>
    <w:p>
      <w:pPr>
        <w:ind w:firstLine="640"/>
        <w:rPr>
          <w:color w:val="000000" w:themeColor="text1"/>
        </w:rPr>
      </w:pPr>
      <w:r>
        <w:rPr>
          <w:rFonts w:hint="eastAsia"/>
          <w:color w:val="000000" w:themeColor="text1"/>
        </w:rPr>
        <w:t>（1）项目入库率。</w:t>
      </w:r>
    </w:p>
    <w:p>
      <w:pPr>
        <w:ind w:firstLine="640"/>
        <w:rPr>
          <w:color w:val="000000" w:themeColor="text1"/>
        </w:rPr>
      </w:pPr>
      <w:r>
        <w:rPr>
          <w:rFonts w:hint="eastAsia"/>
          <w:color w:val="000000" w:themeColor="text1"/>
        </w:rPr>
        <w:t>我厅2022年主管的省级财政专项资金二级项目经财政审核入库的总金额占当年预算数的比率，属于省级下放审批权限的应不低于90%，市县项目总体入库率达70%，根据省财政厅提供数据，此指标分值2分，得分2分，得分率100%。</w:t>
      </w:r>
    </w:p>
    <w:p>
      <w:pPr>
        <w:ind w:firstLine="640"/>
        <w:rPr>
          <w:color w:val="000000" w:themeColor="text1"/>
        </w:rPr>
      </w:pPr>
      <w:r>
        <w:rPr>
          <w:rFonts w:hint="eastAsia"/>
          <w:color w:val="000000" w:themeColor="text1"/>
        </w:rPr>
        <w:t>（2）储备的二级项目使用率。</w:t>
      </w:r>
    </w:p>
    <w:p>
      <w:pPr>
        <w:ind w:firstLine="640"/>
        <w:rPr>
          <w:color w:val="000000" w:themeColor="text1"/>
        </w:rPr>
      </w:pPr>
      <w:r>
        <w:rPr>
          <w:rFonts w:hint="eastAsia"/>
          <w:color w:val="000000" w:themeColor="text1"/>
        </w:rPr>
        <w:t>我厅主管省级财政专项资金在分配下达时，使用预算编制阶段储备的二级项目金额达到预算资金分配总额的70%，根据省财政厅提供数据，此指标分值2分，得分2分，得分率100%。</w:t>
      </w:r>
    </w:p>
    <w:p>
      <w:pPr>
        <w:numPr>
          <w:ilvl w:val="0"/>
          <w:numId w:val="4"/>
        </w:numPr>
        <w:ind w:firstLine="640"/>
        <w:rPr>
          <w:color w:val="000000" w:themeColor="text1"/>
        </w:rPr>
      </w:pPr>
      <w:r>
        <w:rPr>
          <w:rFonts w:hint="eastAsia"/>
          <w:color w:val="000000" w:themeColor="text1"/>
        </w:rPr>
        <w:t>新增预算项目事前绩效评估。</w:t>
      </w:r>
    </w:p>
    <w:p>
      <w:pPr>
        <w:ind w:firstLine="640"/>
        <w:rPr>
          <w:color w:val="000000" w:themeColor="text1"/>
        </w:rPr>
      </w:pPr>
      <w:r>
        <w:rPr>
          <w:rFonts w:hint="eastAsia"/>
          <w:color w:val="000000" w:themeColor="text1"/>
        </w:rPr>
        <w:t>我厅无新增预算项目事前绩效评估，该指标按照满分计算，此项指标分值1分，自评得1分，得分率100%。</w:t>
      </w:r>
    </w:p>
    <w:p>
      <w:pPr>
        <w:pStyle w:val="4"/>
        <w:ind w:firstLine="643"/>
        <w:rPr>
          <w:color w:val="000000" w:themeColor="text1"/>
        </w:rPr>
      </w:pPr>
      <w:bookmarkStart w:id="18" w:name="_Toc24581"/>
      <w:r>
        <w:rPr>
          <w:rFonts w:hint="eastAsia"/>
          <w:color w:val="000000" w:themeColor="text1"/>
        </w:rPr>
        <w:t>2.预算执行。</w:t>
      </w:r>
      <w:bookmarkEnd w:id="18"/>
    </w:p>
    <w:p>
      <w:pPr>
        <w:ind w:firstLine="640"/>
        <w:rPr>
          <w:color w:val="000000" w:themeColor="text1"/>
        </w:rPr>
      </w:pPr>
      <w:r>
        <w:rPr>
          <w:rFonts w:hint="eastAsia"/>
          <w:color w:val="000000" w:themeColor="text1"/>
        </w:rPr>
        <w:t>该指标</w:t>
      </w:r>
      <w:r>
        <w:rPr>
          <w:color w:val="000000" w:themeColor="text1"/>
        </w:rPr>
        <w:t>下设</w:t>
      </w:r>
      <w:r>
        <w:rPr>
          <w:rFonts w:hint="eastAsia"/>
          <w:color w:val="000000" w:themeColor="text1"/>
        </w:rPr>
        <w:t>“预算编制约束性”“资金下达合规性”及“财务管理合规性”</w:t>
      </w:r>
      <w:r>
        <w:rPr>
          <w:color w:val="000000" w:themeColor="text1"/>
        </w:rPr>
        <w:t>等3个三级指标。</w:t>
      </w:r>
      <w:r>
        <w:rPr>
          <w:rFonts w:hint="eastAsia"/>
          <w:color w:val="000000" w:themeColor="text1"/>
        </w:rPr>
        <w:t>该指标分值4分，自评得分3.47分，得分率86.75%。</w:t>
      </w:r>
    </w:p>
    <w:p>
      <w:pPr>
        <w:ind w:firstLine="640"/>
        <w:rPr>
          <w:color w:val="000000" w:themeColor="text1"/>
        </w:rPr>
      </w:pPr>
      <w:r>
        <w:rPr>
          <w:rFonts w:hint="eastAsia"/>
          <w:color w:val="000000" w:themeColor="text1"/>
        </w:rPr>
        <w:t>（1）预算编制约束性。</w:t>
      </w:r>
    </w:p>
    <w:p>
      <w:pPr>
        <w:ind w:firstLine="640"/>
        <w:rPr>
          <w:color w:val="000000" w:themeColor="text1"/>
          <w:highlight w:val="yellow"/>
        </w:rPr>
      </w:pPr>
      <w:r>
        <w:rPr>
          <w:rFonts w:hint="eastAsia" w:cs="仿宋_GB2312"/>
          <w:color w:val="000000" w:themeColor="text1"/>
          <w:kern w:val="0"/>
          <w:szCs w:val="31"/>
        </w:rPr>
        <w:t>根据省财政厅（预算处）提供数据，此指标得分0.97分。</w:t>
      </w:r>
      <w:r>
        <w:rPr>
          <w:rFonts w:hint="eastAsia"/>
          <w:color w:val="000000" w:themeColor="text1"/>
        </w:rPr>
        <w:t>此项</w:t>
      </w:r>
      <w:r>
        <w:rPr>
          <w:color w:val="000000" w:themeColor="text1"/>
        </w:rPr>
        <w:t>指标分值</w:t>
      </w:r>
      <w:r>
        <w:rPr>
          <w:rFonts w:hint="eastAsia"/>
          <w:color w:val="000000" w:themeColor="text1"/>
        </w:rPr>
        <w:t>1</w:t>
      </w:r>
      <w:r>
        <w:rPr>
          <w:color w:val="000000" w:themeColor="text1"/>
        </w:rPr>
        <w:t>分，自评得</w:t>
      </w:r>
      <w:r>
        <w:rPr>
          <w:rFonts w:hint="eastAsia"/>
          <w:color w:val="000000" w:themeColor="text1"/>
        </w:rPr>
        <w:t>0.97</w:t>
      </w:r>
      <w:r>
        <w:rPr>
          <w:color w:val="000000" w:themeColor="text1"/>
        </w:rPr>
        <w:t>分</w:t>
      </w:r>
      <w:r>
        <w:rPr>
          <w:rFonts w:hint="eastAsia"/>
          <w:color w:val="000000" w:themeColor="text1"/>
        </w:rPr>
        <w:t>，得分率97%</w:t>
      </w:r>
      <w:r>
        <w:rPr>
          <w:color w:val="000000" w:themeColor="text1"/>
        </w:rPr>
        <w:t>。</w:t>
      </w:r>
    </w:p>
    <w:p>
      <w:pPr>
        <w:widowControl/>
        <w:ind w:left="640" w:leftChars="200" w:firstLine="0" w:firstLineChars="0"/>
        <w:rPr>
          <w:color w:val="000000" w:themeColor="text1"/>
        </w:rPr>
      </w:pPr>
      <w:r>
        <w:rPr>
          <w:rFonts w:hint="eastAsia"/>
          <w:color w:val="000000" w:themeColor="text1"/>
        </w:rPr>
        <w:t>（2）资金下达合规性。</w:t>
      </w:r>
    </w:p>
    <w:p>
      <w:pPr>
        <w:ind w:firstLine="640"/>
        <w:rPr>
          <w:color w:val="000000" w:themeColor="text1"/>
        </w:rPr>
      </w:pPr>
      <w:r>
        <w:rPr>
          <w:color w:val="000000" w:themeColor="text1"/>
        </w:rPr>
        <w:t>该项指标反映部门</w:t>
      </w:r>
      <w:r>
        <w:rPr>
          <w:rFonts w:hint="eastAsia"/>
          <w:color w:val="000000" w:themeColor="text1"/>
        </w:rPr>
        <w:t>主管的</w:t>
      </w:r>
      <w:r>
        <w:rPr>
          <w:color w:val="000000" w:themeColor="text1"/>
        </w:rPr>
        <w:t>一般性转移支付和专项转移支付</w:t>
      </w:r>
      <w:r>
        <w:rPr>
          <w:rFonts w:hint="eastAsia"/>
          <w:color w:val="000000" w:themeColor="text1"/>
        </w:rPr>
        <w:t>资金提前下达比例和资金下达合法性</w:t>
      </w:r>
      <w:r>
        <w:rPr>
          <w:color w:val="000000" w:themeColor="text1"/>
        </w:rPr>
        <w:t>，</w:t>
      </w:r>
      <w:r>
        <w:rPr>
          <w:rFonts w:hint="eastAsia"/>
          <w:color w:val="000000" w:themeColor="text1"/>
        </w:rPr>
        <w:t>我厅2022年一般性转移支付和专项转移支付提前下达比例分别为100%、100%，一般性转移支付、专项资金转移支付以及中央转移支付均在规定时限内正式下达，根据省财政厅（预算处）提供数据，此项</w:t>
      </w:r>
      <w:r>
        <w:rPr>
          <w:color w:val="000000" w:themeColor="text1"/>
        </w:rPr>
        <w:t>指标分值</w:t>
      </w:r>
      <w:r>
        <w:rPr>
          <w:rFonts w:hint="eastAsia"/>
          <w:color w:val="000000" w:themeColor="text1"/>
        </w:rPr>
        <w:t>1</w:t>
      </w:r>
      <w:r>
        <w:rPr>
          <w:color w:val="000000" w:themeColor="text1"/>
        </w:rPr>
        <w:t>分，自评得</w:t>
      </w:r>
      <w:r>
        <w:rPr>
          <w:rFonts w:hint="eastAsia"/>
          <w:color w:val="000000" w:themeColor="text1"/>
        </w:rPr>
        <w:t>1</w:t>
      </w:r>
      <w:r>
        <w:rPr>
          <w:color w:val="000000" w:themeColor="text1"/>
        </w:rPr>
        <w:t>分</w:t>
      </w:r>
      <w:r>
        <w:rPr>
          <w:rFonts w:hint="eastAsia"/>
          <w:color w:val="000000" w:themeColor="text1"/>
        </w:rPr>
        <w:t>，得分率100%。</w:t>
      </w:r>
    </w:p>
    <w:p>
      <w:pPr>
        <w:widowControl/>
        <w:ind w:left="640" w:leftChars="200" w:firstLine="0" w:firstLineChars="0"/>
        <w:rPr>
          <w:color w:val="000000" w:themeColor="text1"/>
        </w:rPr>
      </w:pPr>
      <w:r>
        <w:rPr>
          <w:rFonts w:hint="eastAsia"/>
          <w:color w:val="000000" w:themeColor="text1"/>
        </w:rPr>
        <w:t>（3）财务管理合规性。</w:t>
      </w:r>
    </w:p>
    <w:p>
      <w:pPr>
        <w:ind w:firstLine="640"/>
        <w:rPr>
          <w:color w:val="000000" w:themeColor="text1"/>
        </w:rPr>
      </w:pPr>
      <w:bookmarkStart w:id="19" w:name="_Toc21466"/>
      <w:r>
        <w:rPr>
          <w:rFonts w:hint="eastAsia"/>
          <w:color w:val="000000" w:themeColor="text1"/>
        </w:rPr>
        <w:t>根据《关于报送就业补助资金和失业保险基金审计整改情况的函》，我厅对于《2022年就业补助资金和失业保险基金审计整改台账》中的</w:t>
      </w:r>
      <w:r>
        <w:rPr>
          <w:rFonts w:hint="eastAsia" w:cs="Times New Roman"/>
          <w:szCs w:val="32"/>
        </w:rPr>
        <w:t>144个</w:t>
      </w:r>
      <w:r>
        <w:rPr>
          <w:rFonts w:cs="Times New Roman"/>
          <w:szCs w:val="32"/>
        </w:rPr>
        <w:t>问题</w:t>
      </w:r>
      <w:r>
        <w:rPr>
          <w:rFonts w:hint="eastAsia" w:cs="Times New Roman"/>
          <w:szCs w:val="32"/>
        </w:rPr>
        <w:t>或事项，141个</w:t>
      </w:r>
      <w:r>
        <w:rPr>
          <w:rFonts w:cs="Times New Roman"/>
          <w:szCs w:val="32"/>
        </w:rPr>
        <w:t>已完成</w:t>
      </w:r>
      <w:r>
        <w:rPr>
          <w:rFonts w:hint="eastAsia" w:cs="Times New Roman"/>
          <w:szCs w:val="32"/>
        </w:rPr>
        <w:t>或基本完成</w:t>
      </w:r>
      <w:r>
        <w:rPr>
          <w:rFonts w:cs="Times New Roman"/>
          <w:szCs w:val="32"/>
        </w:rPr>
        <w:t>，</w:t>
      </w:r>
      <w:r>
        <w:rPr>
          <w:rFonts w:hint="eastAsia" w:cs="Times New Roman"/>
          <w:szCs w:val="32"/>
        </w:rPr>
        <w:t>3</w:t>
      </w:r>
      <w:r>
        <w:rPr>
          <w:rFonts w:cs="Times New Roman"/>
          <w:szCs w:val="32"/>
        </w:rPr>
        <w:t>个问题正在整改，整改完成率9</w:t>
      </w:r>
      <w:r>
        <w:rPr>
          <w:rFonts w:hint="eastAsia" w:cs="Times New Roman"/>
          <w:szCs w:val="32"/>
        </w:rPr>
        <w:t>8</w:t>
      </w:r>
      <w:r>
        <w:rPr>
          <w:rFonts w:cs="Times New Roman"/>
          <w:szCs w:val="32"/>
        </w:rPr>
        <w:t>%</w:t>
      </w:r>
      <w:r>
        <w:rPr>
          <w:rFonts w:hint="eastAsia"/>
          <w:color w:val="000000" w:themeColor="text1"/>
        </w:rPr>
        <w:t>。省审计厅针对2022年就业补助资金和失业保险基金的审计明确指出问题和处理意见的，并限期整改，此项扣0.5分。此项指标分值2分，自评得1.5分，得分率75%。</w:t>
      </w:r>
    </w:p>
    <w:p>
      <w:pPr>
        <w:pStyle w:val="4"/>
        <w:ind w:firstLine="643"/>
        <w:rPr>
          <w:color w:val="000000" w:themeColor="text1"/>
        </w:rPr>
      </w:pPr>
      <w:r>
        <w:rPr>
          <w:rFonts w:hint="eastAsia"/>
          <w:color w:val="000000" w:themeColor="text1"/>
        </w:rPr>
        <w:t>3.信息公开。</w:t>
      </w:r>
      <w:bookmarkEnd w:id="19"/>
    </w:p>
    <w:p>
      <w:pPr>
        <w:ind w:firstLine="640"/>
        <w:rPr>
          <w:color w:val="000000" w:themeColor="text1"/>
        </w:rPr>
      </w:pPr>
      <w:r>
        <w:rPr>
          <w:rFonts w:hint="eastAsia"/>
          <w:color w:val="000000" w:themeColor="text1"/>
        </w:rPr>
        <w:t>该指标</w:t>
      </w:r>
      <w:r>
        <w:rPr>
          <w:color w:val="000000" w:themeColor="text1"/>
        </w:rPr>
        <w:t>下设</w:t>
      </w:r>
      <w:r>
        <w:rPr>
          <w:rFonts w:hint="eastAsia"/>
          <w:color w:val="000000" w:themeColor="text1"/>
        </w:rPr>
        <w:t>“预决算公开合规性”“绩效信息公开情况”2</w:t>
      </w:r>
      <w:r>
        <w:rPr>
          <w:color w:val="000000" w:themeColor="text1"/>
        </w:rPr>
        <w:t>个三级指标。</w:t>
      </w:r>
      <w:r>
        <w:rPr>
          <w:rFonts w:hint="eastAsia"/>
          <w:color w:val="000000" w:themeColor="text1"/>
        </w:rPr>
        <w:t>该指标分值3分，自评得分2.5分，得分率83.3%。</w:t>
      </w:r>
    </w:p>
    <w:p>
      <w:pPr>
        <w:ind w:firstLine="640"/>
        <w:rPr>
          <w:color w:val="000000" w:themeColor="text1"/>
        </w:rPr>
      </w:pPr>
      <w:r>
        <w:rPr>
          <w:rFonts w:hint="eastAsia"/>
          <w:color w:val="000000" w:themeColor="text1"/>
        </w:rPr>
        <w:t>（1）预决算公开合规性。</w:t>
      </w:r>
    </w:p>
    <w:p>
      <w:pPr>
        <w:ind w:firstLine="640"/>
        <w:rPr>
          <w:color w:val="000000" w:themeColor="text1"/>
        </w:rPr>
      </w:pPr>
      <w:r>
        <w:rPr>
          <w:color w:val="000000" w:themeColor="text1"/>
        </w:rPr>
        <w:t>该项指标主要考核部门在被评价年度是否按照政府信息公开有关规定公开相关预决算信息，用以反映部门预决算管理的公开透明情况。</w:t>
      </w:r>
    </w:p>
    <w:p>
      <w:pPr>
        <w:ind w:firstLine="640"/>
        <w:rPr>
          <w:color w:val="000000" w:themeColor="text1"/>
        </w:rPr>
      </w:pPr>
      <w:r>
        <w:rPr>
          <w:color w:val="000000" w:themeColor="text1"/>
        </w:rPr>
        <w:t>经自查，</w:t>
      </w:r>
      <w:r>
        <w:rPr>
          <w:rFonts w:hint="eastAsia"/>
          <w:color w:val="000000" w:themeColor="text1"/>
        </w:rPr>
        <w:t>我厅</w:t>
      </w:r>
      <w:r>
        <w:rPr>
          <w:color w:val="000000" w:themeColor="text1"/>
        </w:rPr>
        <w:t>部门预决算公开</w:t>
      </w:r>
      <w:r>
        <w:rPr>
          <w:rFonts w:hint="eastAsia"/>
          <w:color w:val="000000" w:themeColor="text1"/>
        </w:rPr>
        <w:t>及时规范</w:t>
      </w:r>
      <w:r>
        <w:rPr>
          <w:color w:val="000000" w:themeColor="text1"/>
        </w:rPr>
        <w:t>，能满足广东省预决算公开的有关要求。</w:t>
      </w:r>
      <w:r>
        <w:rPr>
          <w:rFonts w:hint="eastAsia"/>
          <w:color w:val="000000" w:themeColor="text1"/>
        </w:rPr>
        <w:t>及时性上，我厅</w:t>
      </w:r>
      <w:r>
        <w:rPr>
          <w:color w:val="000000" w:themeColor="text1"/>
        </w:rPr>
        <w:t>于</w:t>
      </w:r>
      <w:r>
        <w:rPr>
          <w:rFonts w:hint="eastAsia"/>
          <w:color w:val="000000" w:themeColor="text1"/>
        </w:rPr>
        <w:t>2022</w:t>
      </w:r>
      <w:r>
        <w:rPr>
          <w:color w:val="000000" w:themeColor="text1"/>
        </w:rPr>
        <w:t>年</w:t>
      </w:r>
      <w:r>
        <w:rPr>
          <w:rFonts w:hint="eastAsia"/>
          <w:color w:val="000000" w:themeColor="text1"/>
        </w:rPr>
        <w:t>2</w:t>
      </w:r>
      <w:r>
        <w:rPr>
          <w:color w:val="000000" w:themeColor="text1"/>
        </w:rPr>
        <w:t>月</w:t>
      </w:r>
      <w:r>
        <w:rPr>
          <w:rFonts w:hint="eastAsia"/>
          <w:color w:val="000000" w:themeColor="text1"/>
        </w:rPr>
        <w:t>22</w:t>
      </w:r>
      <w:r>
        <w:rPr>
          <w:color w:val="000000" w:themeColor="text1"/>
        </w:rPr>
        <w:t>日在部门门户网站上公开预算信息，</w:t>
      </w:r>
      <w:r>
        <w:rPr>
          <w:rFonts w:hint="eastAsia"/>
          <w:color w:val="000000" w:themeColor="text1"/>
        </w:rPr>
        <w:t>并</w:t>
      </w:r>
      <w:r>
        <w:rPr>
          <w:color w:val="000000" w:themeColor="text1"/>
        </w:rPr>
        <w:t>在</w:t>
      </w:r>
      <w:r>
        <w:rPr>
          <w:rFonts w:hint="eastAsia"/>
          <w:color w:val="000000" w:themeColor="text1"/>
        </w:rPr>
        <w:t>2022</w:t>
      </w:r>
      <w:r>
        <w:rPr>
          <w:color w:val="000000" w:themeColor="text1"/>
        </w:rPr>
        <w:t>年</w:t>
      </w:r>
      <w:r>
        <w:rPr>
          <w:rFonts w:hint="eastAsia"/>
          <w:color w:val="000000" w:themeColor="text1"/>
        </w:rPr>
        <w:t>8</w:t>
      </w:r>
      <w:r>
        <w:rPr>
          <w:color w:val="000000" w:themeColor="text1"/>
        </w:rPr>
        <w:t>月</w:t>
      </w:r>
      <w:r>
        <w:rPr>
          <w:rFonts w:hint="eastAsia"/>
          <w:color w:val="000000" w:themeColor="text1"/>
        </w:rPr>
        <w:t>19</w:t>
      </w:r>
      <w:r>
        <w:rPr>
          <w:color w:val="000000" w:themeColor="text1"/>
        </w:rPr>
        <w:t>日在门户网站上公开20</w:t>
      </w:r>
      <w:r>
        <w:rPr>
          <w:rFonts w:hint="eastAsia"/>
          <w:color w:val="000000" w:themeColor="text1"/>
        </w:rPr>
        <w:t>21</w:t>
      </w:r>
      <w:r>
        <w:rPr>
          <w:color w:val="000000" w:themeColor="text1"/>
        </w:rPr>
        <w:t>年部门决算信息，在预决算公开填报系统明确的决算公开截止时间前完成公开，符合《地方预决算公开操作规程》（财预〔2016〕143号）等文件的要求</w:t>
      </w:r>
      <w:r>
        <w:rPr>
          <w:rFonts w:hint="eastAsia"/>
          <w:color w:val="000000" w:themeColor="text1"/>
        </w:rPr>
        <w:t>；规范性上，</w:t>
      </w:r>
      <w:r>
        <w:rPr>
          <w:b/>
          <w:bCs/>
          <w:color w:val="000000" w:themeColor="text1"/>
        </w:rPr>
        <w:t>一是</w:t>
      </w:r>
      <w:r>
        <w:rPr>
          <w:color w:val="000000" w:themeColor="text1"/>
        </w:rPr>
        <w:t>预决算信息能在门户网站公开，并永久保留。</w:t>
      </w:r>
      <w:r>
        <w:rPr>
          <w:b/>
          <w:bCs/>
          <w:color w:val="000000" w:themeColor="text1"/>
        </w:rPr>
        <w:t>二是</w:t>
      </w:r>
      <w:r>
        <w:rPr>
          <w:color w:val="000000" w:themeColor="text1"/>
        </w:rPr>
        <w:t>按照省预决算公开规范进行公开。其中：预算公开内容包括了</w:t>
      </w:r>
      <w:r>
        <w:rPr>
          <w:rFonts w:hint="eastAsia"/>
          <w:color w:val="000000" w:themeColor="text1"/>
          <w:lang w:val="en-US" w:eastAsia="zh-CN"/>
        </w:rPr>
        <w:t>12</w:t>
      </w:r>
      <w:r>
        <w:rPr>
          <w:color w:val="000000" w:themeColor="text1"/>
        </w:rPr>
        <w:t>张报表与情况说明，符合预算公开有关要求；决算公开内容包括部门概况介绍、</w:t>
      </w:r>
      <w:r>
        <w:rPr>
          <w:rFonts w:hint="eastAsia"/>
          <w:color w:val="000000" w:themeColor="text1"/>
          <w:lang w:val="en-US" w:eastAsia="zh-CN"/>
        </w:rPr>
        <w:t>9</w:t>
      </w:r>
      <w:r>
        <w:rPr>
          <w:color w:val="000000" w:themeColor="text1"/>
        </w:rPr>
        <w:t>张决算报表及情况说明</w:t>
      </w:r>
      <w:r>
        <w:rPr>
          <w:rFonts w:hint="eastAsia"/>
          <w:color w:val="000000" w:themeColor="text1"/>
        </w:rPr>
        <w:t>，</w:t>
      </w:r>
      <w:r>
        <w:rPr>
          <w:color w:val="000000" w:themeColor="text1"/>
        </w:rPr>
        <w:t>符合决算公开的有关要求。</w:t>
      </w:r>
      <w:r>
        <w:rPr>
          <w:b/>
          <w:bCs/>
          <w:color w:val="000000" w:themeColor="text1"/>
        </w:rPr>
        <w:t>三是</w:t>
      </w:r>
      <w:r>
        <w:rPr>
          <w:color w:val="000000" w:themeColor="text1"/>
        </w:rPr>
        <w:t>公开内容完整。</w:t>
      </w:r>
      <w:r>
        <w:rPr>
          <w:rFonts w:hint="eastAsia"/>
          <w:color w:val="000000" w:themeColor="text1"/>
        </w:rPr>
        <w:t>我厅</w:t>
      </w:r>
      <w:r>
        <w:rPr>
          <w:color w:val="000000" w:themeColor="text1"/>
        </w:rPr>
        <w:t>年度预决算公开具体包括了部门主要职责及机构设置情况、收支总体情况、财政拨款收支总体情况、一般公共预算支出情况、财政拨款安排的行政经费及“三公”经费预算表及政府性基金预算支出情况等，符合相关规定。</w:t>
      </w:r>
      <w:r>
        <w:rPr>
          <w:b/>
          <w:bCs/>
          <w:color w:val="000000" w:themeColor="text1"/>
        </w:rPr>
        <w:t>四是</w:t>
      </w:r>
      <w:r>
        <w:rPr>
          <w:color w:val="000000" w:themeColor="text1"/>
        </w:rPr>
        <w:t>预决算公开的内容细化，一般公共预算支出情况表按功能分类公开到项级科目、按经济分类公开到款级科目，</w:t>
      </w:r>
      <w:r>
        <w:rPr>
          <w:rFonts w:hint="eastAsia"/>
          <w:color w:val="000000" w:themeColor="text1"/>
        </w:rPr>
        <w:t>“</w:t>
      </w:r>
      <w:r>
        <w:rPr>
          <w:color w:val="000000" w:themeColor="text1"/>
        </w:rPr>
        <w:t>三公</w:t>
      </w:r>
      <w:r>
        <w:rPr>
          <w:rFonts w:hint="eastAsia"/>
          <w:color w:val="000000" w:themeColor="text1"/>
        </w:rPr>
        <w:t>”</w:t>
      </w:r>
      <w:r>
        <w:rPr>
          <w:color w:val="000000" w:themeColor="text1"/>
        </w:rPr>
        <w:t>经费支出及</w:t>
      </w:r>
      <w:r>
        <w:rPr>
          <w:rFonts w:hint="eastAsia"/>
          <w:color w:val="000000" w:themeColor="text1"/>
        </w:rPr>
        <w:t>“</w:t>
      </w:r>
      <w:r>
        <w:rPr>
          <w:color w:val="000000" w:themeColor="text1"/>
        </w:rPr>
        <w:t>公务用车购置和运行费</w:t>
      </w:r>
      <w:r>
        <w:rPr>
          <w:rFonts w:hint="eastAsia"/>
          <w:color w:val="000000" w:themeColor="text1"/>
        </w:rPr>
        <w:t>”</w:t>
      </w:r>
      <w:r>
        <w:rPr>
          <w:color w:val="000000" w:themeColor="text1"/>
        </w:rPr>
        <w:t>按规定的细化程度公开，且能说明增减变化原因。</w:t>
      </w:r>
      <w:r>
        <w:rPr>
          <w:rFonts w:hint="eastAsia"/>
          <w:color w:val="000000" w:themeColor="text1"/>
        </w:rPr>
        <w:t>根据省财政厅提供数据，此项</w:t>
      </w:r>
      <w:r>
        <w:rPr>
          <w:color w:val="000000" w:themeColor="text1"/>
        </w:rPr>
        <w:t>指标分值</w:t>
      </w:r>
      <w:r>
        <w:rPr>
          <w:rFonts w:hint="eastAsia"/>
          <w:color w:val="000000" w:themeColor="text1"/>
        </w:rPr>
        <w:t>2</w:t>
      </w:r>
      <w:r>
        <w:rPr>
          <w:color w:val="000000" w:themeColor="text1"/>
        </w:rPr>
        <w:t>分</w:t>
      </w:r>
      <w:r>
        <w:rPr>
          <w:rFonts w:hint="eastAsia"/>
          <w:color w:val="000000" w:themeColor="text1"/>
        </w:rPr>
        <w:t>，</w:t>
      </w:r>
      <w:r>
        <w:rPr>
          <w:color w:val="000000" w:themeColor="text1"/>
        </w:rPr>
        <w:t>得</w:t>
      </w:r>
      <w:r>
        <w:rPr>
          <w:rFonts w:hint="eastAsia"/>
          <w:color w:val="000000" w:themeColor="text1"/>
        </w:rPr>
        <w:t>分2</w:t>
      </w:r>
      <w:r>
        <w:rPr>
          <w:color w:val="000000" w:themeColor="text1"/>
        </w:rPr>
        <w:t>分，得分率</w:t>
      </w:r>
      <w:r>
        <w:rPr>
          <w:rFonts w:hint="eastAsia"/>
          <w:color w:val="000000" w:themeColor="text1"/>
        </w:rPr>
        <w:t>100%</w:t>
      </w:r>
      <w:r>
        <w:rPr>
          <w:color w:val="000000" w:themeColor="text1"/>
        </w:rPr>
        <w:t>。</w:t>
      </w:r>
    </w:p>
    <w:p>
      <w:pPr>
        <w:numPr>
          <w:ilvl w:val="255"/>
          <w:numId w:val="0"/>
        </w:numPr>
        <w:ind w:firstLine="640" w:firstLineChars="200"/>
        <w:rPr>
          <w:color w:val="000000" w:themeColor="text1"/>
        </w:rPr>
      </w:pPr>
      <w:r>
        <w:rPr>
          <w:rFonts w:hint="eastAsia"/>
          <w:color w:val="000000" w:themeColor="text1"/>
        </w:rPr>
        <w:t>（2）绩效信息公开情况。</w:t>
      </w:r>
    </w:p>
    <w:p>
      <w:pPr>
        <w:ind w:firstLine="640"/>
        <w:rPr>
          <w:color w:val="000000" w:themeColor="text1"/>
        </w:rPr>
      </w:pPr>
      <w:r>
        <w:rPr>
          <w:rFonts w:hint="eastAsia"/>
          <w:color w:val="000000" w:themeColor="text1"/>
        </w:rPr>
        <w:t>我厅于2022年7月20日在部门门户网站上公开2021年部门整体支出绩效和项目绩效自评报告，2022年绩效目标未公开，此项扣0.5分。此项指标分值1分，自评得0.5分，得分率50%。</w:t>
      </w:r>
    </w:p>
    <w:p>
      <w:pPr>
        <w:pStyle w:val="4"/>
        <w:ind w:firstLine="643"/>
        <w:rPr>
          <w:color w:val="000000" w:themeColor="text1"/>
        </w:rPr>
      </w:pPr>
      <w:bookmarkStart w:id="20" w:name="_Toc1741"/>
      <w:r>
        <w:rPr>
          <w:rFonts w:hint="eastAsia"/>
          <w:color w:val="000000" w:themeColor="text1"/>
        </w:rPr>
        <w:t>4.绩效管理。</w:t>
      </w:r>
      <w:bookmarkEnd w:id="20"/>
    </w:p>
    <w:p>
      <w:pPr>
        <w:ind w:firstLine="640"/>
        <w:rPr>
          <w:color w:val="000000" w:themeColor="text1"/>
        </w:rPr>
      </w:pPr>
      <w:r>
        <w:rPr>
          <w:rFonts w:hint="eastAsia"/>
          <w:color w:val="000000" w:themeColor="text1"/>
        </w:rPr>
        <w:t>该指标</w:t>
      </w:r>
      <w:r>
        <w:rPr>
          <w:color w:val="000000" w:themeColor="text1"/>
        </w:rPr>
        <w:t>下设</w:t>
      </w:r>
      <w:r>
        <w:rPr>
          <w:rFonts w:hint="eastAsia"/>
          <w:color w:val="000000" w:themeColor="text1"/>
        </w:rPr>
        <w:t>“绩效管理制度建设”“绩效结果应用”“绩效管理制度执行”3</w:t>
      </w:r>
      <w:r>
        <w:rPr>
          <w:color w:val="000000" w:themeColor="text1"/>
        </w:rPr>
        <w:t>个三级指标。</w:t>
      </w:r>
      <w:r>
        <w:rPr>
          <w:rFonts w:hint="eastAsia"/>
          <w:color w:val="000000" w:themeColor="text1"/>
        </w:rPr>
        <w:t>该指标分值15分，自评得分14.5分，得分率96.67%。</w:t>
      </w:r>
    </w:p>
    <w:p>
      <w:pPr>
        <w:ind w:firstLine="640"/>
        <w:rPr>
          <w:color w:val="000000" w:themeColor="text1"/>
        </w:rPr>
      </w:pPr>
      <w:r>
        <w:rPr>
          <w:rFonts w:hint="eastAsia"/>
          <w:color w:val="000000" w:themeColor="text1"/>
        </w:rPr>
        <w:t>（1）绩效管理制度建设。</w:t>
      </w:r>
    </w:p>
    <w:p>
      <w:pPr>
        <w:ind w:firstLine="640"/>
        <w:rPr>
          <w:color w:val="000000" w:themeColor="text1"/>
        </w:rPr>
      </w:pPr>
      <w:r>
        <w:rPr>
          <w:rFonts w:hint="eastAsia"/>
          <w:color w:val="000000" w:themeColor="text1"/>
        </w:rPr>
        <w:t>我厅根据《关于印发省级促进就业创业发展专项资金管理办法的通知》（粤财社〔2019〕211号），将绩效管理相关要求，分别以独立章节或条款的形式，写入厅的专项资金管理办法，厅机关和厅下属单位的财务管理办法，在制度的层面要求各地市、各用款单位在年度结束后，必须对上年度资金和项目开展绩效评价，能较好地体现绩效管理要求</w:t>
      </w:r>
      <w:r>
        <w:rPr>
          <w:color w:val="000000" w:themeColor="text1"/>
        </w:rPr>
        <w:t>。</w:t>
      </w:r>
      <w:r>
        <w:rPr>
          <w:rFonts w:hint="eastAsia"/>
          <w:color w:val="000000" w:themeColor="text1"/>
        </w:rPr>
        <w:t>此项指标分值5分，自评得5分，得分率100%。</w:t>
      </w:r>
    </w:p>
    <w:p>
      <w:pPr>
        <w:ind w:left="640" w:leftChars="200" w:firstLine="0" w:firstLineChars="0"/>
        <w:rPr>
          <w:color w:val="000000" w:themeColor="text1"/>
        </w:rPr>
      </w:pPr>
      <w:r>
        <w:rPr>
          <w:rFonts w:hint="eastAsia"/>
          <w:color w:val="000000" w:themeColor="text1"/>
        </w:rPr>
        <w:t>（2）绩效结果应用。</w:t>
      </w:r>
    </w:p>
    <w:p>
      <w:pPr>
        <w:ind w:firstLine="640"/>
        <w:rPr>
          <w:color w:val="000000" w:themeColor="text1"/>
        </w:rPr>
      </w:pPr>
      <w:r>
        <w:rPr>
          <w:rFonts w:hint="eastAsia"/>
          <w:color w:val="000000" w:themeColor="text1"/>
        </w:rPr>
        <w:t>在绩效评价的结果的转化应用上，我厅及时反馈处理监控预警提醒信息，及时将重点评价整改情况反馈省财政厅，建立评价结果与预算编制挂钩机制，将评价结果与所属预算单位预算安排相结合。2022年度我厅向资金使用单位共发出提醒函59封。将评价结果与资金分配相挂钩，对采用项目制分配的资金，在编制下一年度预算时，对评价存在较为突出问题或整改尚未完成的，采取调整资金支出方向、支出结构、适当减少项目资金预算或取消该项目等方式进行结果应用。对采用因素法分配的资金，设置绩效审计系数，绩效越好，分配资金越多，引导资金流向预算执行快、使用绩效好的地区。坚持结果导向和问题导向，通过绩效评价，对相关业务政策实施前后的效果和政策目标实现情况进行持续跟踪分析，政策缺失的及时查漏补缺，政策滞后于经济社会发展变化的，及时更新完善</w:t>
      </w:r>
      <w:r>
        <w:rPr>
          <w:color w:val="000000" w:themeColor="text1"/>
        </w:rPr>
        <w:t>。</w:t>
      </w:r>
      <w:r>
        <w:rPr>
          <w:rFonts w:hint="eastAsia"/>
          <w:color w:val="000000" w:themeColor="text1"/>
        </w:rPr>
        <w:t>此项指标分值3分，自评得3分，得分率100%。</w:t>
      </w:r>
    </w:p>
    <w:p>
      <w:pPr>
        <w:numPr>
          <w:ilvl w:val="255"/>
          <w:numId w:val="0"/>
        </w:numPr>
        <w:ind w:left="640" w:leftChars="200"/>
        <w:rPr>
          <w:color w:val="000000" w:themeColor="text1"/>
        </w:rPr>
      </w:pPr>
      <w:r>
        <w:rPr>
          <w:rFonts w:hint="eastAsia"/>
          <w:color w:val="000000" w:themeColor="text1"/>
        </w:rPr>
        <w:t>（3）绩效管理制度执行。</w:t>
      </w:r>
    </w:p>
    <w:p>
      <w:pPr>
        <w:ind w:firstLine="640"/>
        <w:rPr>
          <w:color w:val="000000" w:themeColor="text1"/>
        </w:rPr>
      </w:pPr>
      <w:r>
        <w:rPr>
          <w:rFonts w:hint="eastAsia"/>
          <w:color w:val="000000" w:themeColor="text1"/>
        </w:rPr>
        <w:t>在绩效管理制度执行方面，我厅主要从两方面开展工作。一是厅内横向到边。厅内的资金绩效评价工作由财务处牵头抓总，各项资金主管业务处室按照“谁使用，谁管理，谁评价”的原则分工负责，所有涉及资金使用的处室、厅属单位全部参与，形成工作合力。二是省内纵向到底。每年绩效评价工作，由厅统一发文进行部署，指导和督促各地市（县）、厅属单位和其他省级用款单位对上年度资金使用情况开展绩效自评。自评工作自下而上，从县到市，再到资金的主管处室，最终形成评价报告。除了每年财政部门要求的专项资金、部门整体支出按要求“应评尽评”外，我厅还自我加压，将评价范围扩展到其他13项其他事业发展性支出，实现了全覆盖。我厅将绩效管理相关要求，分别以独立章节或条款的形式，写入厅的专项资金管理办法，厅机关和厅下属单位的财务管理办法，在制度的层面要求各地市、各用款单位在年度结束后，必须对上年度资金和项目必须开展绩效评价，但我厅部门整体预算绩效目标和项目绩效目标等绩效信息公开工作未能有效执行， 存在绩效目标设置不合理的问题，绩效目标编报质量有待提升。根据省财政厅提供数据，此项指标分值7分，得分6.5分，得分率92.8%</w:t>
      </w:r>
      <w:r>
        <w:rPr>
          <w:color w:val="000000" w:themeColor="text1"/>
        </w:rPr>
        <w:t>。</w:t>
      </w:r>
    </w:p>
    <w:p>
      <w:pPr>
        <w:pStyle w:val="4"/>
        <w:ind w:firstLine="643"/>
        <w:rPr>
          <w:color w:val="000000" w:themeColor="text1"/>
        </w:rPr>
      </w:pPr>
      <w:bookmarkStart w:id="21" w:name="_Toc28811"/>
      <w:r>
        <w:rPr>
          <w:rFonts w:hint="eastAsia"/>
          <w:color w:val="000000" w:themeColor="text1"/>
        </w:rPr>
        <w:t>5.采购管理。</w:t>
      </w:r>
      <w:bookmarkEnd w:id="21"/>
    </w:p>
    <w:p>
      <w:pPr>
        <w:ind w:firstLine="640"/>
        <w:rPr>
          <w:color w:val="000000" w:themeColor="text1"/>
        </w:rPr>
      </w:pPr>
      <w:r>
        <w:rPr>
          <w:rFonts w:hint="eastAsia"/>
          <w:color w:val="000000" w:themeColor="text1"/>
        </w:rPr>
        <w:t>该指标</w:t>
      </w:r>
      <w:r>
        <w:rPr>
          <w:color w:val="000000" w:themeColor="text1"/>
        </w:rPr>
        <w:t>下设“</w:t>
      </w:r>
      <w:r>
        <w:rPr>
          <w:rFonts w:hint="eastAsia"/>
          <w:color w:val="000000" w:themeColor="text1"/>
        </w:rPr>
        <w:t>采购意向公开合规性”“采购内控制度建设”“采购活动合规性”“采购合同签订时效性”“合同备案时效性”“采购政策效能”6</w:t>
      </w:r>
      <w:r>
        <w:rPr>
          <w:color w:val="000000" w:themeColor="text1"/>
        </w:rPr>
        <w:t>个三级指标。</w:t>
      </w:r>
      <w:r>
        <w:rPr>
          <w:rFonts w:hint="eastAsia"/>
          <w:color w:val="000000" w:themeColor="text1"/>
        </w:rPr>
        <w:t>该指标分值10分，自评得分8分，得分率80%。</w:t>
      </w:r>
    </w:p>
    <w:p>
      <w:pPr>
        <w:ind w:firstLine="640"/>
        <w:rPr>
          <w:color w:val="000000" w:themeColor="text1"/>
        </w:rPr>
      </w:pPr>
      <w:r>
        <w:rPr>
          <w:rFonts w:hint="eastAsia"/>
          <w:color w:val="000000" w:themeColor="text1"/>
        </w:rPr>
        <w:t>（1）采购意向公开合规性。</w:t>
      </w:r>
    </w:p>
    <w:p>
      <w:pPr>
        <w:ind w:firstLine="640"/>
        <w:rPr>
          <w:color w:val="000000" w:themeColor="text1"/>
        </w:rPr>
      </w:pPr>
      <w:r>
        <w:rPr>
          <w:rFonts w:hint="eastAsia"/>
          <w:color w:val="000000" w:themeColor="text1"/>
        </w:rPr>
        <w:t>根据省财政厅提供数据，我厅采购意向公开完整，采购活动在规定时限内公开，采购意向公开完整性、及时性符合规定，指标分值2分，得分2分，得分率100%</w:t>
      </w:r>
      <w:r>
        <w:rPr>
          <w:color w:val="000000" w:themeColor="text1"/>
        </w:rPr>
        <w:t>。</w:t>
      </w:r>
    </w:p>
    <w:p>
      <w:pPr>
        <w:ind w:firstLine="640"/>
        <w:rPr>
          <w:color w:val="000000" w:themeColor="text1"/>
        </w:rPr>
      </w:pPr>
      <w:r>
        <w:rPr>
          <w:rFonts w:hint="eastAsia"/>
          <w:color w:val="000000" w:themeColor="text1"/>
        </w:rPr>
        <w:t>（2）采购内控制度建设。</w:t>
      </w:r>
    </w:p>
    <w:p>
      <w:pPr>
        <w:ind w:firstLine="640"/>
        <w:rPr>
          <w:color w:val="000000" w:themeColor="text1"/>
        </w:rPr>
      </w:pPr>
      <w:r>
        <w:rPr>
          <w:rFonts w:hint="eastAsia"/>
          <w:color w:val="000000" w:themeColor="text1"/>
        </w:rPr>
        <w:t>我厅已建立政府采购内部控制管理制度并报财政部门备案，根据省财政厅提供数据，此指标分值1分，得分1分，得分率100%</w:t>
      </w:r>
      <w:r>
        <w:rPr>
          <w:color w:val="000000" w:themeColor="text1"/>
        </w:rPr>
        <w:t>。</w:t>
      </w:r>
    </w:p>
    <w:p>
      <w:pPr>
        <w:ind w:firstLine="640"/>
        <w:rPr>
          <w:color w:val="000000" w:themeColor="text1"/>
          <w:highlight w:val="yellow"/>
        </w:rPr>
      </w:pPr>
      <w:r>
        <w:rPr>
          <w:rFonts w:hint="eastAsia"/>
          <w:color w:val="000000" w:themeColor="text1"/>
        </w:rPr>
        <w:t>（3）采购活动合规性。</w:t>
      </w:r>
    </w:p>
    <w:p>
      <w:pPr>
        <w:ind w:firstLine="640"/>
        <w:rPr>
          <w:color w:val="000000" w:themeColor="text1"/>
        </w:rPr>
      </w:pPr>
      <w:r>
        <w:rPr>
          <w:rFonts w:hint="eastAsia"/>
          <w:color w:val="000000" w:themeColor="text1"/>
        </w:rPr>
        <w:t>我厅采购活动合法合规，根据省财政厅提供数据，此指标分值2分，得分2分，得分率100%</w:t>
      </w:r>
      <w:r>
        <w:rPr>
          <w:color w:val="000000" w:themeColor="text1"/>
        </w:rPr>
        <w:t>。</w:t>
      </w:r>
    </w:p>
    <w:p>
      <w:pPr>
        <w:ind w:firstLine="640"/>
        <w:rPr>
          <w:color w:val="000000" w:themeColor="text1"/>
        </w:rPr>
      </w:pPr>
      <w:r>
        <w:rPr>
          <w:rFonts w:hint="eastAsia"/>
          <w:color w:val="000000" w:themeColor="text1"/>
        </w:rPr>
        <w:t>（4）采购合同签订时效性。</w:t>
      </w:r>
    </w:p>
    <w:p>
      <w:pPr>
        <w:ind w:firstLine="640"/>
        <w:rPr>
          <w:color w:val="000000" w:themeColor="text1"/>
        </w:rPr>
      </w:pPr>
      <w:r>
        <w:rPr>
          <w:rFonts w:hint="eastAsia"/>
          <w:color w:val="000000" w:themeColor="text1"/>
        </w:rPr>
        <w:t>我厅采购合同签订及时性达90%以上，未达到100%，根据省财政厅提供数据，此指标分值3分，得分2分，得分率67%</w:t>
      </w:r>
      <w:r>
        <w:rPr>
          <w:color w:val="000000" w:themeColor="text1"/>
        </w:rPr>
        <w:t>。</w:t>
      </w:r>
    </w:p>
    <w:p>
      <w:pPr>
        <w:ind w:firstLine="640"/>
        <w:rPr>
          <w:color w:val="000000" w:themeColor="text1"/>
        </w:rPr>
      </w:pPr>
      <w:r>
        <w:rPr>
          <w:rFonts w:hint="eastAsia"/>
          <w:color w:val="000000" w:themeColor="text1"/>
        </w:rPr>
        <w:t>（5）合同备案时效性。</w:t>
      </w:r>
    </w:p>
    <w:p>
      <w:pPr>
        <w:ind w:firstLine="640"/>
        <w:rPr>
          <w:color w:val="000000" w:themeColor="text1"/>
        </w:rPr>
      </w:pPr>
      <w:r>
        <w:rPr>
          <w:rFonts w:hint="eastAsia"/>
          <w:color w:val="000000" w:themeColor="text1"/>
        </w:rPr>
        <w:t>该项指标主要考核部门采购合同备案及时性情况。经于“广东省政府采购网”自查，我厅存在部分采购合同未及时在“广东省政府采购网”备案公开。根据省财政厅提供数据，指标分值1分，此项得0分，得分率0。</w:t>
      </w:r>
    </w:p>
    <w:p>
      <w:pPr>
        <w:ind w:firstLine="640"/>
        <w:rPr>
          <w:color w:val="000000" w:themeColor="text1"/>
        </w:rPr>
      </w:pPr>
      <w:r>
        <w:rPr>
          <w:rFonts w:hint="eastAsia"/>
          <w:color w:val="000000" w:themeColor="text1"/>
        </w:rPr>
        <w:t>（6）采购政策效能。</w:t>
      </w:r>
    </w:p>
    <w:p>
      <w:pPr>
        <w:widowControl/>
        <w:ind w:firstLine="640"/>
        <w:jc w:val="left"/>
        <w:rPr>
          <w:color w:val="000000" w:themeColor="text1"/>
        </w:rPr>
      </w:pPr>
      <w:r>
        <w:rPr>
          <w:rFonts w:hint="eastAsia"/>
          <w:color w:val="000000" w:themeColor="text1"/>
        </w:rPr>
        <w:t>根据《关于报送2022年度政府采购促进中小企业发展情况的函》，2022年我厅面向中小企业预留的项目预算3.27亿元，</w:t>
      </w:r>
      <w:r>
        <w:rPr>
          <w:rFonts w:ascii="仿宋_GB2312" w:hAnsi="宋体" w:cs="仿宋_GB2312"/>
          <w:color w:val="000000"/>
          <w:kern w:val="0"/>
          <w:sz w:val="31"/>
          <w:szCs w:val="31"/>
        </w:rPr>
        <w:t>实际授予中小企业合同金额为</w:t>
      </w:r>
      <w:r>
        <w:rPr>
          <w:rFonts w:eastAsia="宋体" w:cs="Times New Roman"/>
          <w:color w:val="000000"/>
          <w:kern w:val="0"/>
          <w:sz w:val="31"/>
          <w:szCs w:val="31"/>
        </w:rPr>
        <w:t>3.38</w:t>
      </w:r>
      <w:r>
        <w:rPr>
          <w:rFonts w:hint="eastAsia" w:ascii="仿宋_GB2312" w:hAnsi="宋体" w:cs="仿宋_GB2312"/>
          <w:color w:val="000000"/>
          <w:kern w:val="0"/>
          <w:sz w:val="31"/>
          <w:szCs w:val="31"/>
        </w:rPr>
        <w:t>亿元</w:t>
      </w:r>
      <w:r>
        <w:rPr>
          <w:rFonts w:hint="eastAsia"/>
        </w:rPr>
        <w:t>。实际授予中小企业合同金额大于面向中小企业预留的项目预算，</w:t>
      </w:r>
      <w:r>
        <w:rPr>
          <w:rFonts w:hint="eastAsia"/>
          <w:color w:val="000000" w:themeColor="text1"/>
        </w:rPr>
        <w:t>此项指标分值1分，自评得1分，得分率100%。</w:t>
      </w:r>
      <w:bookmarkStart w:id="22" w:name="_Toc25018"/>
    </w:p>
    <w:p>
      <w:pPr>
        <w:pStyle w:val="4"/>
        <w:ind w:firstLine="643"/>
        <w:rPr>
          <w:color w:val="000000" w:themeColor="text1"/>
        </w:rPr>
      </w:pPr>
      <w:r>
        <w:rPr>
          <w:rFonts w:hint="eastAsia"/>
          <w:color w:val="000000" w:themeColor="text1"/>
        </w:rPr>
        <w:t>6.资产管理。</w:t>
      </w:r>
      <w:bookmarkEnd w:id="22"/>
    </w:p>
    <w:p>
      <w:pPr>
        <w:ind w:firstLine="640"/>
        <w:rPr>
          <w:color w:val="000000" w:themeColor="text1"/>
        </w:rPr>
      </w:pPr>
      <w:r>
        <w:rPr>
          <w:rFonts w:hint="eastAsia"/>
          <w:color w:val="000000" w:themeColor="text1"/>
        </w:rPr>
        <w:t>该指标</w:t>
      </w:r>
      <w:r>
        <w:rPr>
          <w:color w:val="000000" w:themeColor="text1"/>
        </w:rPr>
        <w:t>下设“</w:t>
      </w:r>
      <w:r>
        <w:rPr>
          <w:rFonts w:hint="eastAsia"/>
          <w:color w:val="000000" w:themeColor="text1"/>
        </w:rPr>
        <w:t>资产配置合规性”“资产收益上缴的及时性”“资产盘点情况”“数据质量”“资产管理合规性”“固定资产利用率”6</w:t>
      </w:r>
      <w:r>
        <w:rPr>
          <w:color w:val="000000" w:themeColor="text1"/>
        </w:rPr>
        <w:t>个三级指标。</w:t>
      </w:r>
      <w:r>
        <w:rPr>
          <w:rFonts w:hint="eastAsia"/>
          <w:color w:val="000000" w:themeColor="text1"/>
        </w:rPr>
        <w:t>该指标分值10分，自评得分9.4分，得分率94%。</w:t>
      </w:r>
    </w:p>
    <w:p>
      <w:pPr>
        <w:tabs>
          <w:tab w:val="center" w:pos="4366"/>
        </w:tabs>
        <w:ind w:firstLine="640"/>
        <w:rPr>
          <w:color w:val="000000" w:themeColor="text1"/>
        </w:rPr>
      </w:pPr>
      <w:r>
        <w:rPr>
          <w:rFonts w:hint="eastAsia"/>
          <w:color w:val="000000" w:themeColor="text1"/>
        </w:rPr>
        <w:t>（1）资产配置合规性。</w:t>
      </w:r>
    </w:p>
    <w:p>
      <w:pPr>
        <w:ind w:firstLine="640"/>
        <w:rPr>
          <w:color w:val="000000" w:themeColor="text1"/>
        </w:rPr>
      </w:pPr>
      <w:r>
        <w:rPr>
          <w:rFonts w:hint="eastAsia"/>
          <w:color w:val="000000" w:themeColor="text1"/>
        </w:rPr>
        <w:t>根据我厅《2022年行政事业性国有资产报表（汇总表）》《2022年行政事业性国有资产报表填表说明》、我厅办公室面积和办公设备配置符合标准</w:t>
      </w:r>
      <w:r>
        <w:rPr>
          <w:color w:val="000000" w:themeColor="text1"/>
        </w:rPr>
        <w:t>。</w:t>
      </w:r>
      <w:r>
        <w:rPr>
          <w:rFonts w:hint="eastAsia"/>
          <w:color w:val="000000" w:themeColor="text1"/>
        </w:rPr>
        <w:t>此项指标分值2分，自评得2分，得分率100%。</w:t>
      </w:r>
    </w:p>
    <w:p>
      <w:pPr>
        <w:ind w:firstLine="640"/>
        <w:rPr>
          <w:color w:val="000000" w:themeColor="text1"/>
        </w:rPr>
      </w:pPr>
      <w:r>
        <w:rPr>
          <w:rFonts w:hint="eastAsia"/>
          <w:color w:val="000000" w:themeColor="text1"/>
        </w:rPr>
        <w:t>（2）资产收益上缴的及时性。</w:t>
      </w:r>
    </w:p>
    <w:p>
      <w:pPr>
        <w:ind w:firstLine="640"/>
        <w:rPr>
          <w:color w:val="000000" w:themeColor="text1"/>
        </w:rPr>
      </w:pPr>
      <w:r>
        <w:rPr>
          <w:rFonts w:hint="eastAsia"/>
          <w:color w:val="000000" w:themeColor="text1"/>
        </w:rPr>
        <w:t>根据我厅2022年资产处置批复的文件和2022年部门决算中的非税收入征缴情况表，资产处置和使用收益上缴及时，此项指标分值1分，自评得1分，得分率100%</w:t>
      </w:r>
      <w:r>
        <w:rPr>
          <w:color w:val="000000" w:themeColor="text1"/>
        </w:rPr>
        <w:t>。</w:t>
      </w:r>
    </w:p>
    <w:p>
      <w:pPr>
        <w:ind w:firstLine="640"/>
        <w:rPr>
          <w:color w:val="000000" w:themeColor="text1"/>
        </w:rPr>
      </w:pPr>
      <w:r>
        <w:rPr>
          <w:rFonts w:hint="eastAsia"/>
          <w:color w:val="000000" w:themeColor="text1"/>
        </w:rPr>
        <w:t>（3）资产盘点情况。</w:t>
      </w:r>
    </w:p>
    <w:p>
      <w:pPr>
        <w:ind w:firstLine="640"/>
        <w:rPr>
          <w:color w:val="000000" w:themeColor="text1"/>
        </w:rPr>
      </w:pPr>
      <w:r>
        <w:rPr>
          <w:rFonts w:hint="eastAsia"/>
          <w:color w:val="000000" w:themeColor="text1"/>
        </w:rPr>
        <w:t>我厅2022年已委托第三方进行资产盘点，并出具了需报废固定资产经济损失鉴证报告和固定资产公允价值评估报告，此项指标分值1分，自评得1分，得分率100%</w:t>
      </w:r>
      <w:r>
        <w:rPr>
          <w:color w:val="000000" w:themeColor="text1"/>
        </w:rPr>
        <w:t>。</w:t>
      </w:r>
    </w:p>
    <w:p>
      <w:pPr>
        <w:ind w:firstLine="640"/>
        <w:rPr>
          <w:color w:val="000000" w:themeColor="text1"/>
        </w:rPr>
      </w:pPr>
      <w:r>
        <w:rPr>
          <w:rFonts w:hint="eastAsia"/>
          <w:color w:val="000000" w:themeColor="text1"/>
        </w:rPr>
        <w:t>（4）数据质量。</w:t>
      </w:r>
    </w:p>
    <w:p>
      <w:pPr>
        <w:ind w:firstLine="640"/>
        <w:rPr>
          <w:rFonts w:hint="eastAsia"/>
          <w:color w:val="000000" w:themeColor="text1"/>
        </w:rPr>
      </w:pPr>
      <w:r>
        <w:rPr>
          <w:rFonts w:hint="eastAsia"/>
          <w:color w:val="000000" w:themeColor="text1"/>
        </w:rPr>
        <w:t>该项指标</w:t>
      </w:r>
      <w:r>
        <w:rPr>
          <w:color w:val="000000" w:themeColor="text1"/>
        </w:rPr>
        <w:t>主要考核</w:t>
      </w:r>
      <w:r>
        <w:rPr>
          <w:rFonts w:hint="eastAsia"/>
          <w:color w:val="000000" w:themeColor="text1"/>
        </w:rPr>
        <w:t>部门行政事业性国有资产年报数据质量，根据省财政厅提供数据，此项</w:t>
      </w:r>
      <w:r>
        <w:rPr>
          <w:color w:val="000000" w:themeColor="text1"/>
        </w:rPr>
        <w:t>指标分值</w:t>
      </w:r>
      <w:r>
        <w:rPr>
          <w:rFonts w:hint="eastAsia"/>
          <w:color w:val="000000" w:themeColor="text1"/>
        </w:rPr>
        <w:t>2</w:t>
      </w:r>
      <w:r>
        <w:rPr>
          <w:color w:val="000000" w:themeColor="text1"/>
        </w:rPr>
        <w:t>分</w:t>
      </w:r>
      <w:r>
        <w:rPr>
          <w:rFonts w:hint="eastAsia"/>
          <w:color w:val="000000" w:themeColor="text1"/>
        </w:rPr>
        <w:t>，</w:t>
      </w:r>
      <w:r>
        <w:rPr>
          <w:color w:val="000000" w:themeColor="text1"/>
        </w:rPr>
        <w:t>得</w:t>
      </w:r>
      <w:r>
        <w:rPr>
          <w:rFonts w:hint="eastAsia"/>
          <w:color w:val="000000" w:themeColor="text1"/>
        </w:rPr>
        <w:t>1.4</w:t>
      </w:r>
      <w:r>
        <w:rPr>
          <w:color w:val="000000" w:themeColor="text1"/>
        </w:rPr>
        <w:t>分</w:t>
      </w:r>
      <w:r>
        <w:rPr>
          <w:rFonts w:hint="eastAsia"/>
          <w:color w:val="000000" w:themeColor="text1"/>
        </w:rPr>
        <w:t>。</w:t>
      </w:r>
    </w:p>
    <w:p>
      <w:pPr>
        <w:ind w:firstLine="640"/>
        <w:rPr>
          <w:color w:val="000000" w:themeColor="text1"/>
        </w:rPr>
      </w:pPr>
      <w:r>
        <w:rPr>
          <w:rFonts w:hint="eastAsia"/>
          <w:color w:val="000000" w:themeColor="text1"/>
        </w:rPr>
        <w:t>（5）资产管理合规性。</w:t>
      </w:r>
    </w:p>
    <w:p>
      <w:pPr>
        <w:ind w:firstLine="640"/>
        <w:rPr>
          <w:color w:val="000000" w:themeColor="text1"/>
        </w:rPr>
      </w:pPr>
      <w:r>
        <w:rPr>
          <w:rFonts w:hint="eastAsia"/>
          <w:color w:val="000000" w:themeColor="text1"/>
        </w:rPr>
        <w:t>该项指标</w:t>
      </w:r>
      <w:r>
        <w:rPr>
          <w:color w:val="000000" w:themeColor="text1"/>
        </w:rPr>
        <w:t>主要考核</w:t>
      </w:r>
      <w:r>
        <w:rPr>
          <w:rFonts w:hint="eastAsia"/>
          <w:color w:val="000000" w:themeColor="text1"/>
        </w:rPr>
        <w:t>部门资产管理是否合规。经自查，我厅制定了《广东省人力资源和社会保障厅国有资产管理办法》（粤人社函〔2011〕3895号），并严格按照《事业单位国有资产管理暂行办法》、政府会计制度的规定等有关国有资产管理的规定，规范配置、使用、管理和处置资产。为落实省委巡视整改要求，切实解决各单位资产管理存在的问题，我厅印发《关于进一步加强国有资产管理工作的通知》（粤人社函〔2020〕75号）、《关于进一步提高国有资产处置送审材料质量的通知》，资产保存完整，资产处置程序合规，处置收入及时足额上缴，保障了国有资产的安全。此项</w:t>
      </w:r>
      <w:r>
        <w:rPr>
          <w:color w:val="000000" w:themeColor="text1"/>
        </w:rPr>
        <w:t>指标分值</w:t>
      </w:r>
      <w:r>
        <w:rPr>
          <w:rFonts w:hint="eastAsia"/>
          <w:color w:val="000000" w:themeColor="text1"/>
        </w:rPr>
        <w:t>2</w:t>
      </w:r>
      <w:r>
        <w:rPr>
          <w:color w:val="000000" w:themeColor="text1"/>
        </w:rPr>
        <w:t>分</w:t>
      </w:r>
      <w:r>
        <w:rPr>
          <w:rFonts w:hint="eastAsia"/>
          <w:color w:val="000000" w:themeColor="text1"/>
        </w:rPr>
        <w:t>，</w:t>
      </w:r>
      <w:r>
        <w:rPr>
          <w:color w:val="000000" w:themeColor="text1"/>
        </w:rPr>
        <w:t>自评得</w:t>
      </w:r>
      <w:r>
        <w:rPr>
          <w:rFonts w:hint="eastAsia"/>
          <w:color w:val="000000" w:themeColor="text1"/>
        </w:rPr>
        <w:t>2</w:t>
      </w:r>
      <w:r>
        <w:rPr>
          <w:color w:val="000000" w:themeColor="text1"/>
        </w:rPr>
        <w:t>分，得分率</w:t>
      </w:r>
      <w:r>
        <w:rPr>
          <w:rFonts w:hint="eastAsia"/>
          <w:color w:val="000000" w:themeColor="text1"/>
        </w:rPr>
        <w:t>100</w:t>
      </w:r>
      <w:r>
        <w:rPr>
          <w:color w:val="000000" w:themeColor="text1"/>
        </w:rPr>
        <w:t>%。</w:t>
      </w:r>
    </w:p>
    <w:p>
      <w:pPr>
        <w:ind w:firstLine="640"/>
        <w:rPr>
          <w:color w:val="000000" w:themeColor="text1"/>
        </w:rPr>
      </w:pPr>
      <w:r>
        <w:rPr>
          <w:rFonts w:hint="eastAsia"/>
          <w:color w:val="000000" w:themeColor="text1"/>
        </w:rPr>
        <w:t>（6）固定资产利用率。</w:t>
      </w:r>
    </w:p>
    <w:p>
      <w:pPr>
        <w:ind w:firstLine="640"/>
        <w:rPr>
          <w:color w:val="000000" w:themeColor="text1"/>
        </w:rPr>
      </w:pPr>
      <w:r>
        <w:rPr>
          <w:rFonts w:hint="eastAsia"/>
          <w:color w:val="000000" w:themeColor="text1"/>
        </w:rPr>
        <w:t>我厅实际在用固定资产总额与所有固定资产总额的比例使用率高于整个省直单位平均值，按照省财政厅提供数据，此指标分值2分，得分2分，得分率100%</w:t>
      </w:r>
      <w:r>
        <w:rPr>
          <w:color w:val="000000" w:themeColor="text1"/>
        </w:rPr>
        <w:t>。</w:t>
      </w:r>
    </w:p>
    <w:p>
      <w:pPr>
        <w:pStyle w:val="4"/>
        <w:ind w:firstLine="643"/>
        <w:rPr>
          <w:color w:val="000000" w:themeColor="text1"/>
        </w:rPr>
      </w:pPr>
      <w:bookmarkStart w:id="23" w:name="_Toc8292"/>
      <w:r>
        <w:rPr>
          <w:rFonts w:hint="eastAsia"/>
          <w:color w:val="000000" w:themeColor="text1"/>
        </w:rPr>
        <w:t>7.运行成本。</w:t>
      </w:r>
      <w:bookmarkEnd w:id="23"/>
    </w:p>
    <w:p>
      <w:pPr>
        <w:ind w:firstLine="640"/>
        <w:rPr>
          <w:color w:val="000000" w:themeColor="text1"/>
        </w:rPr>
      </w:pPr>
      <w:r>
        <w:rPr>
          <w:rFonts w:hint="eastAsia"/>
          <w:color w:val="000000" w:themeColor="text1"/>
        </w:rPr>
        <w:t>该指标</w:t>
      </w:r>
      <w:r>
        <w:rPr>
          <w:color w:val="000000" w:themeColor="text1"/>
        </w:rPr>
        <w:t>下设</w:t>
      </w:r>
      <w:r>
        <w:rPr>
          <w:rFonts w:hint="eastAsia"/>
          <w:color w:val="000000" w:themeColor="text1"/>
        </w:rPr>
        <w:t>“经济成本控制情况”“‘三公’经费控制情况”2</w:t>
      </w:r>
      <w:r>
        <w:rPr>
          <w:color w:val="000000" w:themeColor="text1"/>
        </w:rPr>
        <w:t>个三级指标。</w:t>
      </w:r>
      <w:r>
        <w:rPr>
          <w:rFonts w:hint="eastAsia"/>
          <w:color w:val="000000" w:themeColor="text1"/>
        </w:rPr>
        <w:t>该指标分值3分，自评得分1.97分，得分率65.67%。</w:t>
      </w:r>
    </w:p>
    <w:p>
      <w:pPr>
        <w:numPr>
          <w:ilvl w:val="0"/>
          <w:numId w:val="5"/>
        </w:numPr>
        <w:ind w:firstLine="640"/>
        <w:rPr>
          <w:color w:val="000000" w:themeColor="text1"/>
        </w:rPr>
      </w:pPr>
      <w:r>
        <w:rPr>
          <w:rFonts w:hint="eastAsia"/>
          <w:color w:val="000000" w:themeColor="text1"/>
        </w:rPr>
        <w:t>经济成本控制情况。</w:t>
      </w:r>
    </w:p>
    <w:p>
      <w:pPr>
        <w:ind w:firstLine="640"/>
        <w:rPr>
          <w:color w:val="000000" w:themeColor="text1"/>
        </w:rPr>
      </w:pPr>
      <w:r>
        <w:rPr>
          <w:rFonts w:hint="eastAsia"/>
          <w:color w:val="000000" w:themeColor="text1"/>
        </w:rPr>
        <w:t>该项指标</w:t>
      </w:r>
      <w:r>
        <w:rPr>
          <w:color w:val="000000" w:themeColor="text1"/>
        </w:rPr>
        <w:t>主要考核</w:t>
      </w:r>
      <w:r>
        <w:rPr>
          <w:rFonts w:hint="eastAsia"/>
          <w:color w:val="000000" w:themeColor="text1"/>
        </w:rPr>
        <w:t>部门经济支出分类核算情况，包括对运转成本的控制努力程度和效果、核算精准度和合理性等。根据省财厅绩效处提供分数，此项</w:t>
      </w:r>
      <w:r>
        <w:rPr>
          <w:color w:val="000000" w:themeColor="text1"/>
        </w:rPr>
        <w:t>指标分值</w:t>
      </w:r>
      <w:r>
        <w:rPr>
          <w:rFonts w:hint="eastAsia"/>
          <w:color w:val="000000" w:themeColor="text1"/>
        </w:rPr>
        <w:t>2</w:t>
      </w:r>
      <w:r>
        <w:rPr>
          <w:color w:val="000000" w:themeColor="text1"/>
        </w:rPr>
        <w:t>分</w:t>
      </w:r>
      <w:r>
        <w:rPr>
          <w:rFonts w:hint="eastAsia"/>
          <w:color w:val="000000" w:themeColor="text1"/>
        </w:rPr>
        <w:t>，</w:t>
      </w:r>
      <w:r>
        <w:rPr>
          <w:color w:val="000000" w:themeColor="text1"/>
        </w:rPr>
        <w:t>自评得</w:t>
      </w:r>
      <w:r>
        <w:rPr>
          <w:rFonts w:hint="eastAsia"/>
          <w:color w:val="000000" w:themeColor="text1"/>
        </w:rPr>
        <w:t>0.97</w:t>
      </w:r>
      <w:r>
        <w:rPr>
          <w:color w:val="000000" w:themeColor="text1"/>
        </w:rPr>
        <w:t>分</w:t>
      </w:r>
      <w:r>
        <w:rPr>
          <w:rFonts w:hint="eastAsia"/>
          <w:color w:val="000000" w:themeColor="text1"/>
        </w:rPr>
        <w:t>，</w:t>
      </w:r>
      <w:r>
        <w:rPr>
          <w:color w:val="000000" w:themeColor="text1"/>
        </w:rPr>
        <w:t>得分率</w:t>
      </w:r>
      <w:r>
        <w:rPr>
          <w:rFonts w:hint="eastAsia"/>
          <w:color w:val="000000" w:themeColor="text1"/>
        </w:rPr>
        <w:t>48.5%。但根据省财政厅提供《2022年部门经济成本分析自评表》，省财政厅系统该项满分10分，系统得分5.55分，我厅自评得分8.55分，（系统与自评得分不一致原因是系统取值不合理，</w:t>
      </w:r>
      <w:r>
        <w:rPr>
          <w:rFonts w:hint="eastAsia" w:cs="仿宋_GB2312"/>
          <w:color w:val="000000" w:themeColor="text1"/>
          <w:szCs w:val="32"/>
        </w:rPr>
        <w:t>2022年我厅有部分用于社保、就业、技工学校免学费、考试费上缴中央等支出，按规定由我厅转拨或上缴中央，列入“其他支出”科目。以上资金均为用于支持全省各项事业发展的支出或须按规定上缴中央的费用，并非我厅履职产生的经济成本）</w:t>
      </w:r>
      <w:r>
        <w:rPr>
          <w:color w:val="000000" w:themeColor="text1"/>
        </w:rPr>
        <w:t>。</w:t>
      </w:r>
    </w:p>
    <w:p>
      <w:pPr>
        <w:ind w:firstLine="640"/>
        <w:rPr>
          <w:color w:val="000000" w:themeColor="text1"/>
        </w:rPr>
      </w:pPr>
      <w:r>
        <w:rPr>
          <w:rFonts w:hint="eastAsia"/>
          <w:color w:val="000000" w:themeColor="text1"/>
        </w:rPr>
        <w:t>其中</w:t>
      </w:r>
      <w:r>
        <w:rPr>
          <w:rStyle w:val="20"/>
          <w:rFonts w:hint="eastAsia"/>
          <w:color w:val="000000" w:themeColor="text1"/>
        </w:rPr>
        <w:footnoteReference w:id="0"/>
      </w:r>
      <w:r>
        <w:rPr>
          <w:rFonts w:hint="eastAsia"/>
          <w:color w:val="000000" w:themeColor="text1"/>
        </w:rPr>
        <w:t>：</w:t>
      </w:r>
    </w:p>
    <w:p>
      <w:pPr>
        <w:ind w:firstLine="640"/>
        <w:rPr>
          <w:color w:val="000000" w:themeColor="text1"/>
        </w:rPr>
      </w:pPr>
      <w:r>
        <w:rPr>
          <w:rFonts w:hint="eastAsia"/>
          <w:color w:val="000000" w:themeColor="text1"/>
        </w:rPr>
        <w:t>能耗支出18.92元/平方米，在省直单位中排名约后20名。</w:t>
      </w:r>
    </w:p>
    <w:p>
      <w:pPr>
        <w:ind w:firstLine="640"/>
        <w:rPr>
          <w:color w:val="000000" w:themeColor="text1"/>
        </w:rPr>
      </w:pPr>
      <w:r>
        <w:rPr>
          <w:rFonts w:hint="eastAsia"/>
          <w:color w:val="000000" w:themeColor="text1"/>
        </w:rPr>
        <w:t>物业管理费92.26元/平方米，在省直单位中排名约前20名。</w:t>
      </w:r>
    </w:p>
    <w:p>
      <w:pPr>
        <w:ind w:firstLine="640"/>
        <w:rPr>
          <w:color w:val="000000" w:themeColor="text1"/>
        </w:rPr>
      </w:pPr>
      <w:r>
        <w:rPr>
          <w:rFonts w:hint="eastAsia"/>
          <w:color w:val="000000" w:themeColor="text1"/>
        </w:rPr>
        <w:t>行政支出1.07万元/人，在省直单位中排名约前20名。</w:t>
      </w:r>
    </w:p>
    <w:p>
      <w:pPr>
        <w:ind w:firstLine="640"/>
        <w:rPr>
          <w:color w:val="000000" w:themeColor="text1"/>
        </w:rPr>
      </w:pPr>
      <w:r>
        <w:rPr>
          <w:rFonts w:hint="eastAsia"/>
          <w:color w:val="000000" w:themeColor="text1"/>
        </w:rPr>
        <w:t>业务活动支出2.47万元/人，在省直单位中排名约前20名。</w:t>
      </w:r>
    </w:p>
    <w:p>
      <w:pPr>
        <w:ind w:firstLine="640"/>
        <w:rPr>
          <w:color w:val="000000" w:themeColor="text1"/>
        </w:rPr>
      </w:pPr>
      <w:r>
        <w:rPr>
          <w:rFonts w:hint="eastAsia"/>
          <w:color w:val="000000" w:themeColor="text1"/>
        </w:rPr>
        <w:t>人均外勤支出2.69万元/人，在省直单位中排名约前20名。</w:t>
      </w:r>
    </w:p>
    <w:p>
      <w:pPr>
        <w:ind w:firstLine="640"/>
        <w:rPr>
          <w:color w:val="000000" w:themeColor="text1"/>
        </w:rPr>
      </w:pPr>
      <w:r>
        <w:rPr>
          <w:rFonts w:hint="eastAsia"/>
          <w:color w:val="000000" w:themeColor="text1"/>
        </w:rPr>
        <w:t>公用经费支出9.82万元/人，在省直单位中排名约前20名。</w:t>
      </w:r>
    </w:p>
    <w:p>
      <w:pPr>
        <w:ind w:firstLine="640"/>
        <w:rPr>
          <w:color w:val="000000" w:themeColor="text1"/>
        </w:rPr>
      </w:pPr>
      <w:r>
        <w:rPr>
          <w:rFonts w:hint="eastAsia"/>
          <w:color w:val="000000" w:themeColor="text1"/>
        </w:rPr>
        <w:t>（2）“三公”经费控制情况。</w:t>
      </w:r>
    </w:p>
    <w:p>
      <w:pPr>
        <w:ind w:firstLine="640"/>
        <w:rPr>
          <w:color w:val="000000" w:themeColor="text1"/>
        </w:rPr>
      </w:pPr>
      <w:r>
        <w:rPr>
          <w:rFonts w:hint="eastAsia"/>
          <w:color w:val="000000" w:themeColor="text1"/>
        </w:rPr>
        <w:t>该项指标</w:t>
      </w:r>
      <w:r>
        <w:rPr>
          <w:color w:val="000000" w:themeColor="text1"/>
        </w:rPr>
        <w:t>主要考核</w:t>
      </w:r>
      <w:r>
        <w:rPr>
          <w:rFonts w:hint="eastAsia"/>
          <w:color w:val="000000" w:themeColor="text1"/>
        </w:rPr>
        <w:t>部门对“三公”经费的控制效果。经自查，2022年度我厅“三公”经费年初预算安排663.46万元，实际支出数为381.59万元，“三公”经费实际支出数≤预算安排的三公经费数。根据省财政厅提供数据，此项</w:t>
      </w:r>
      <w:r>
        <w:rPr>
          <w:color w:val="000000" w:themeColor="text1"/>
        </w:rPr>
        <w:t>指标分值</w:t>
      </w:r>
      <w:r>
        <w:rPr>
          <w:rFonts w:hint="eastAsia"/>
          <w:color w:val="000000" w:themeColor="text1"/>
        </w:rPr>
        <w:t>1</w:t>
      </w:r>
      <w:r>
        <w:rPr>
          <w:color w:val="000000" w:themeColor="text1"/>
        </w:rPr>
        <w:t>分</w:t>
      </w:r>
      <w:r>
        <w:rPr>
          <w:rFonts w:hint="eastAsia"/>
          <w:color w:val="000000" w:themeColor="text1"/>
        </w:rPr>
        <w:t>，</w:t>
      </w:r>
      <w:r>
        <w:rPr>
          <w:color w:val="000000" w:themeColor="text1"/>
        </w:rPr>
        <w:t>得</w:t>
      </w:r>
      <w:r>
        <w:rPr>
          <w:rFonts w:hint="eastAsia"/>
          <w:color w:val="000000" w:themeColor="text1"/>
        </w:rPr>
        <w:t>分1</w:t>
      </w:r>
      <w:r>
        <w:rPr>
          <w:color w:val="000000" w:themeColor="text1"/>
        </w:rPr>
        <w:t>分，得分率</w:t>
      </w:r>
      <w:r>
        <w:rPr>
          <w:rFonts w:hint="eastAsia"/>
          <w:color w:val="000000" w:themeColor="text1"/>
        </w:rPr>
        <w:t>100</w:t>
      </w:r>
      <w:r>
        <w:rPr>
          <w:color w:val="000000" w:themeColor="text1"/>
        </w:rPr>
        <w:t>%。</w:t>
      </w:r>
      <w:bookmarkStart w:id="24" w:name="_Toc5493"/>
    </w:p>
    <w:bookmarkEnd w:id="24"/>
    <w:p>
      <w:pPr>
        <w:pStyle w:val="2"/>
        <w:ind w:firstLine="640"/>
        <w:rPr>
          <w:color w:val="000000" w:themeColor="text1"/>
        </w:rPr>
      </w:pPr>
      <w:bookmarkStart w:id="25" w:name="_Toc11274"/>
      <w:r>
        <w:rPr>
          <w:rFonts w:hint="eastAsia"/>
          <w:color w:val="000000" w:themeColor="text1"/>
        </w:rPr>
        <w:t>三、主要绩效</w:t>
      </w:r>
      <w:bookmarkEnd w:id="25"/>
    </w:p>
    <w:p>
      <w:pPr>
        <w:pStyle w:val="3"/>
        <w:ind w:firstLine="643"/>
        <w:rPr>
          <w:b/>
          <w:bCs/>
          <w:color w:val="000000" w:themeColor="text1"/>
          <w:lang w:val="zh-CN"/>
        </w:rPr>
      </w:pPr>
      <w:bookmarkStart w:id="26" w:name="_Toc11300"/>
      <w:r>
        <w:rPr>
          <w:rFonts w:hint="eastAsia"/>
          <w:b/>
          <w:bCs/>
          <w:color w:val="000000" w:themeColor="text1"/>
        </w:rPr>
        <w:t>（一）坚持稳中求进、突出重点，就业局势“基本盘”保持稳定</w:t>
      </w:r>
      <w:r>
        <w:rPr>
          <w:b/>
          <w:bCs/>
          <w:color w:val="000000" w:themeColor="text1"/>
          <w:lang w:val="zh-CN"/>
        </w:rPr>
        <w:t>。</w:t>
      </w:r>
      <w:bookmarkEnd w:id="26"/>
    </w:p>
    <w:p>
      <w:pPr>
        <w:ind w:firstLine="640"/>
        <w:rPr>
          <w:color w:val="000000" w:themeColor="text1"/>
          <w:lang w:val="zh-CN"/>
        </w:rPr>
      </w:pPr>
      <w:bookmarkStart w:id="27" w:name="_Toc12473"/>
      <w:r>
        <w:rPr>
          <w:rFonts w:hint="eastAsia"/>
          <w:color w:val="000000" w:themeColor="text1"/>
        </w:rPr>
        <w:t>2022</w:t>
      </w:r>
      <w:r>
        <w:rPr>
          <w:color w:val="000000" w:themeColor="text1"/>
          <w:lang w:val="zh-CN"/>
        </w:rPr>
        <w:t>全年</w:t>
      </w:r>
      <w:r>
        <w:rPr>
          <w:rFonts w:hint="eastAsia"/>
          <w:color w:val="000000" w:themeColor="text1"/>
        </w:rPr>
        <w:t>我省</w:t>
      </w:r>
      <w:r>
        <w:rPr>
          <w:color w:val="000000" w:themeColor="text1"/>
          <w:lang w:val="zh-CN"/>
        </w:rPr>
        <w:t>城镇新增就业132.06万人，就业工作连续4年获国务院督查激励。</w:t>
      </w:r>
      <w:r>
        <w:rPr>
          <w:b/>
          <w:bCs/>
          <w:color w:val="000000" w:themeColor="text1"/>
          <w:lang w:val="zh-CN"/>
        </w:rPr>
        <w:t>一是狠抓重点群体就业。</w:t>
      </w:r>
      <w:r>
        <w:rPr>
          <w:color w:val="000000" w:themeColor="text1"/>
          <w:lang w:val="zh-CN"/>
        </w:rPr>
        <w:t>出台高校毕业生就业创业十大行动等10余项政策文件，开发政策性岗位28.3万个，高校毕业生去向落实率超90%。2300万外省农民工特别是412万脱贫人口就业基本稳定，零就业家庭实现“动态清零”。</w:t>
      </w:r>
      <w:r>
        <w:rPr>
          <w:b/>
          <w:bCs/>
          <w:color w:val="000000" w:themeColor="text1"/>
          <w:lang w:val="zh-CN"/>
        </w:rPr>
        <w:t>二是狠抓就业空间拓展。</w:t>
      </w:r>
      <w:r>
        <w:rPr>
          <w:color w:val="000000" w:themeColor="text1"/>
          <w:lang w:val="zh-CN"/>
        </w:rPr>
        <w:t>创新灵活就业人员参加社会保险办法，383万灵活就业人员参加企业养老保险。推动零工市场建设。成功举办2022年广东“众创杯”创业创新大赛。发放创业担保贷款95.63亿元、贴息资金2.91亿元。</w:t>
      </w:r>
      <w:r>
        <w:rPr>
          <w:b/>
          <w:bCs/>
          <w:color w:val="000000" w:themeColor="text1"/>
          <w:lang w:val="zh-CN"/>
        </w:rPr>
        <w:t>三是狠抓就业服务提质。</w:t>
      </w:r>
      <w:r>
        <w:rPr>
          <w:color w:val="000000" w:themeColor="text1"/>
          <w:lang w:val="zh-CN"/>
        </w:rPr>
        <w:t>开展“春暖农民工”服务行动，促进春节前后异地务工人员有序流动。组织千名就业服务专员助万家重点企业等招聘活动，服务重点企业4040家次，帮助招聘12.8万人次。四是狠抓失业风险防控。加强1.5万家企业用工监测，动态储备岗位超20万个。发放失业保险金、失业补助金分别为73.14亿元、49.44亿元，惠及83.31万人和119.68万人。</w:t>
      </w:r>
    </w:p>
    <w:p>
      <w:pPr>
        <w:pStyle w:val="3"/>
        <w:ind w:firstLine="643"/>
        <w:rPr>
          <w:b/>
          <w:bCs/>
          <w:color w:val="000000" w:themeColor="text1"/>
          <w:lang w:val="zh-CN"/>
        </w:rPr>
      </w:pPr>
      <w:r>
        <w:rPr>
          <w:rFonts w:hint="eastAsia"/>
          <w:b/>
          <w:bCs/>
          <w:color w:val="000000" w:themeColor="text1"/>
          <w:lang w:val="zh-CN"/>
        </w:rPr>
        <w:t>（</w:t>
      </w:r>
      <w:r>
        <w:rPr>
          <w:rFonts w:hint="eastAsia"/>
          <w:b/>
          <w:bCs/>
          <w:color w:val="000000" w:themeColor="text1"/>
        </w:rPr>
        <w:t>二</w:t>
      </w:r>
      <w:r>
        <w:rPr>
          <w:rFonts w:hint="eastAsia"/>
          <w:b/>
          <w:bCs/>
          <w:color w:val="000000" w:themeColor="text1"/>
          <w:lang w:val="zh-CN"/>
        </w:rPr>
        <w:t>）坚持久久为功、补齐短板，三项工程“金招牌”持续擦亮</w:t>
      </w:r>
      <w:r>
        <w:rPr>
          <w:b/>
          <w:bCs/>
          <w:color w:val="000000" w:themeColor="text1"/>
          <w:lang w:val="zh-CN"/>
        </w:rPr>
        <w:t>。</w:t>
      </w:r>
      <w:bookmarkEnd w:id="27"/>
      <w:bookmarkStart w:id="28" w:name="_Toc25341"/>
    </w:p>
    <w:p>
      <w:pPr>
        <w:ind w:firstLine="640"/>
        <w:rPr>
          <w:rFonts w:cs="Times New Roman"/>
          <w:color w:val="000000" w:themeColor="text1"/>
        </w:rPr>
      </w:pPr>
      <w:r>
        <w:rPr>
          <w:rFonts w:cs="Times New Roman"/>
          <w:color w:val="000000" w:themeColor="text1"/>
          <w:lang w:val="zh-CN"/>
        </w:rPr>
        <w:t>全年累计培训138.2万人次，带动就业创业66.6万人次，推动</w:t>
      </w:r>
      <w:r>
        <w:rPr>
          <w:rFonts w:hint="eastAsia" w:cs="Times New Roman"/>
          <w:color w:val="000000" w:themeColor="text1"/>
          <w:lang w:val="zh-CN"/>
        </w:rPr>
        <w:t>“</w:t>
      </w:r>
      <w:r>
        <w:rPr>
          <w:rFonts w:cs="Times New Roman"/>
          <w:color w:val="000000" w:themeColor="text1"/>
          <w:lang w:val="zh-CN"/>
        </w:rPr>
        <w:t>粤菜师傅</w:t>
      </w:r>
      <w:r>
        <w:rPr>
          <w:rFonts w:hint="eastAsia" w:cs="Times New Roman"/>
          <w:color w:val="000000" w:themeColor="text1"/>
          <w:lang w:val="zh-CN"/>
        </w:rPr>
        <w:t>”“</w:t>
      </w:r>
      <w:r>
        <w:rPr>
          <w:rFonts w:cs="Times New Roman"/>
          <w:color w:val="000000" w:themeColor="text1"/>
          <w:lang w:val="zh-CN"/>
        </w:rPr>
        <w:t>广东技工</w:t>
      </w:r>
      <w:r>
        <w:rPr>
          <w:rFonts w:hint="eastAsia" w:cs="Times New Roman"/>
          <w:color w:val="000000" w:themeColor="text1"/>
          <w:lang w:val="zh-CN"/>
        </w:rPr>
        <w:t>”“</w:t>
      </w:r>
      <w:r>
        <w:rPr>
          <w:rFonts w:cs="Times New Roman"/>
          <w:color w:val="000000" w:themeColor="text1"/>
          <w:lang w:val="zh-CN"/>
        </w:rPr>
        <w:t>南粤家政</w:t>
      </w:r>
      <w:r>
        <w:rPr>
          <w:rFonts w:hint="eastAsia" w:cs="Times New Roman"/>
          <w:color w:val="000000" w:themeColor="text1"/>
          <w:lang w:val="zh-CN"/>
        </w:rPr>
        <w:t>”</w:t>
      </w:r>
      <w:r>
        <w:rPr>
          <w:rFonts w:cs="Times New Roman"/>
          <w:color w:val="000000" w:themeColor="text1"/>
          <w:lang w:val="zh-CN"/>
        </w:rPr>
        <w:t>三项工程从</w:t>
      </w:r>
      <w:r>
        <w:rPr>
          <w:rFonts w:hint="eastAsia" w:cs="Times New Roman"/>
          <w:color w:val="000000" w:themeColor="text1"/>
          <w:lang w:val="zh-CN"/>
        </w:rPr>
        <w:t>“</w:t>
      </w:r>
      <w:r>
        <w:rPr>
          <w:rFonts w:cs="Times New Roman"/>
          <w:color w:val="000000" w:themeColor="text1"/>
          <w:lang w:val="zh-CN"/>
        </w:rPr>
        <w:t>惠及面越来越广</w:t>
      </w:r>
      <w:r>
        <w:rPr>
          <w:rFonts w:hint="eastAsia" w:cs="Times New Roman"/>
          <w:color w:val="000000" w:themeColor="text1"/>
          <w:lang w:val="zh-CN"/>
        </w:rPr>
        <w:t>”</w:t>
      </w:r>
      <w:r>
        <w:rPr>
          <w:rFonts w:cs="Times New Roman"/>
          <w:color w:val="000000" w:themeColor="text1"/>
          <w:lang w:val="zh-CN"/>
        </w:rPr>
        <w:t>到</w:t>
      </w:r>
      <w:r>
        <w:rPr>
          <w:rFonts w:hint="eastAsia" w:cs="Times New Roman"/>
          <w:color w:val="000000" w:themeColor="text1"/>
          <w:lang w:val="zh-CN"/>
        </w:rPr>
        <w:t>“</w:t>
      </w:r>
      <w:r>
        <w:rPr>
          <w:rFonts w:cs="Times New Roman"/>
          <w:color w:val="000000" w:themeColor="text1"/>
          <w:lang w:val="zh-CN"/>
        </w:rPr>
        <w:t>实效性</w:t>
      </w:r>
      <w:bookmarkStart w:id="31" w:name="_GoBack"/>
      <w:bookmarkEnd w:id="31"/>
      <w:r>
        <w:rPr>
          <w:rFonts w:cs="Times New Roman"/>
          <w:color w:val="000000" w:themeColor="text1"/>
          <w:lang w:val="zh-CN"/>
        </w:rPr>
        <w:t>越来越好</w:t>
      </w:r>
      <w:r>
        <w:rPr>
          <w:rFonts w:hint="eastAsia" w:cs="Times New Roman"/>
          <w:color w:val="000000" w:themeColor="text1"/>
          <w:lang w:val="zh-CN"/>
        </w:rPr>
        <w:t>”</w:t>
      </w:r>
      <w:r>
        <w:rPr>
          <w:rFonts w:cs="Times New Roman"/>
          <w:color w:val="000000" w:themeColor="text1"/>
          <w:lang w:val="zh-CN"/>
        </w:rPr>
        <w:t>。</w:t>
      </w:r>
      <w:r>
        <w:rPr>
          <w:rFonts w:cs="Times New Roman"/>
          <w:b/>
          <w:bCs/>
          <w:color w:val="000000" w:themeColor="text1"/>
          <w:lang w:val="zh-CN"/>
        </w:rPr>
        <w:t>一是推动</w:t>
      </w:r>
      <w:r>
        <w:rPr>
          <w:rFonts w:hint="eastAsia" w:cs="Times New Roman"/>
          <w:b/>
          <w:bCs/>
          <w:color w:val="000000" w:themeColor="text1"/>
          <w:lang w:val="zh-CN"/>
        </w:rPr>
        <w:t>“</w:t>
      </w:r>
      <w:r>
        <w:rPr>
          <w:rFonts w:cs="Times New Roman"/>
          <w:b/>
          <w:bCs/>
          <w:color w:val="000000" w:themeColor="text1"/>
          <w:lang w:val="zh-CN"/>
        </w:rPr>
        <w:t>粤菜师傅</w:t>
      </w:r>
      <w:r>
        <w:rPr>
          <w:rFonts w:hint="eastAsia" w:cs="Times New Roman"/>
          <w:b/>
          <w:bCs/>
          <w:color w:val="000000" w:themeColor="text1"/>
          <w:lang w:val="zh-CN"/>
        </w:rPr>
        <w:t>”</w:t>
      </w:r>
      <w:r>
        <w:rPr>
          <w:rFonts w:cs="Times New Roman"/>
          <w:b/>
          <w:bCs/>
          <w:color w:val="000000" w:themeColor="text1"/>
          <w:lang w:val="zh-CN"/>
        </w:rPr>
        <w:t>与粤菜产业协同发展。</w:t>
      </w:r>
      <w:r>
        <w:rPr>
          <w:rFonts w:cs="Times New Roman"/>
          <w:color w:val="000000" w:themeColor="text1"/>
          <w:lang w:val="zh-CN"/>
        </w:rPr>
        <w:t>推动出台省粤菜发展促进条例，打造粤菜名店名品名厨，出台</w:t>
      </w:r>
      <w:r>
        <w:rPr>
          <w:rFonts w:hint="eastAsia" w:cs="Times New Roman"/>
          <w:color w:val="000000" w:themeColor="text1"/>
          <w:lang w:val="zh-CN"/>
        </w:rPr>
        <w:t>“</w:t>
      </w:r>
      <w:r>
        <w:rPr>
          <w:rFonts w:cs="Times New Roman"/>
          <w:color w:val="000000" w:themeColor="text1"/>
          <w:lang w:val="zh-CN"/>
        </w:rPr>
        <w:t>预制菜十条</w:t>
      </w:r>
      <w:r>
        <w:rPr>
          <w:rFonts w:hint="eastAsia" w:cs="Times New Roman"/>
          <w:color w:val="000000" w:themeColor="text1"/>
          <w:lang w:val="zh-CN"/>
        </w:rPr>
        <w:t>”</w:t>
      </w:r>
      <w:r>
        <w:rPr>
          <w:rFonts w:cs="Times New Roman"/>
          <w:color w:val="000000" w:themeColor="text1"/>
          <w:lang w:val="zh-CN"/>
        </w:rPr>
        <w:t>，推出乡村旅游粤菜美食点587个，建设省级培训基地和大师工作室各100个，评选</w:t>
      </w:r>
      <w:r>
        <w:rPr>
          <w:rFonts w:hint="eastAsia" w:cs="Times New Roman"/>
          <w:color w:val="000000" w:themeColor="text1"/>
          <w:lang w:val="zh-CN"/>
        </w:rPr>
        <w:t>“</w:t>
      </w:r>
      <w:r>
        <w:rPr>
          <w:rFonts w:cs="Times New Roman"/>
          <w:color w:val="000000" w:themeColor="text1"/>
          <w:lang w:val="zh-CN"/>
        </w:rPr>
        <w:t>粤菜师傅名村</w:t>
      </w:r>
      <w:r>
        <w:rPr>
          <w:rFonts w:hint="eastAsia" w:cs="Times New Roman"/>
          <w:color w:val="000000" w:themeColor="text1"/>
          <w:lang w:val="zh-CN"/>
        </w:rPr>
        <w:t>”</w:t>
      </w:r>
      <w:r>
        <w:rPr>
          <w:rFonts w:cs="Times New Roman"/>
          <w:color w:val="000000" w:themeColor="text1"/>
          <w:lang w:val="zh-CN"/>
        </w:rPr>
        <w:t>10个。</w:t>
      </w:r>
      <w:r>
        <w:rPr>
          <w:rFonts w:cs="Times New Roman"/>
          <w:b/>
          <w:bCs/>
          <w:color w:val="000000" w:themeColor="text1"/>
          <w:lang w:val="zh-CN"/>
        </w:rPr>
        <w:t>二是加快</w:t>
      </w:r>
      <w:r>
        <w:rPr>
          <w:rFonts w:hint="eastAsia" w:cs="Times New Roman"/>
          <w:b/>
          <w:bCs/>
          <w:color w:val="000000" w:themeColor="text1"/>
          <w:lang w:val="zh-CN"/>
        </w:rPr>
        <w:t>“</w:t>
      </w:r>
      <w:r>
        <w:rPr>
          <w:rFonts w:cs="Times New Roman"/>
          <w:b/>
          <w:bCs/>
          <w:color w:val="000000" w:themeColor="text1"/>
          <w:lang w:val="zh-CN"/>
        </w:rPr>
        <w:t>广东技工</w:t>
      </w:r>
      <w:r>
        <w:rPr>
          <w:rFonts w:hint="eastAsia" w:cs="Times New Roman"/>
          <w:b/>
          <w:bCs/>
          <w:color w:val="000000" w:themeColor="text1"/>
          <w:lang w:val="zh-CN"/>
        </w:rPr>
        <w:t>”</w:t>
      </w:r>
      <w:r>
        <w:rPr>
          <w:rFonts w:cs="Times New Roman"/>
          <w:b/>
          <w:bCs/>
          <w:color w:val="000000" w:themeColor="text1"/>
          <w:lang w:val="zh-CN"/>
        </w:rPr>
        <w:t>与广东制造共同成长。</w:t>
      </w:r>
      <w:r>
        <w:rPr>
          <w:rFonts w:cs="Times New Roman"/>
          <w:color w:val="000000" w:themeColor="text1"/>
          <w:lang w:val="zh-CN"/>
        </w:rPr>
        <w:t>推进百万产业工人和百万职业农民培训计划，推进技工教育</w:t>
      </w:r>
      <w:r>
        <w:rPr>
          <w:rFonts w:hint="eastAsia" w:cs="Times New Roman"/>
          <w:color w:val="000000" w:themeColor="text1"/>
        </w:rPr>
        <w:t>“</w:t>
      </w:r>
      <w:r>
        <w:rPr>
          <w:rFonts w:cs="Times New Roman"/>
          <w:color w:val="000000" w:themeColor="text1"/>
          <w:lang w:val="zh-CN"/>
        </w:rPr>
        <w:t>强基培优</w:t>
      </w:r>
      <w:r>
        <w:rPr>
          <w:rFonts w:hint="eastAsia" w:cs="Times New Roman"/>
          <w:color w:val="000000" w:themeColor="text1"/>
          <w:lang w:val="zh-CN"/>
        </w:rPr>
        <w:t>”</w:t>
      </w:r>
      <w:r>
        <w:rPr>
          <w:rFonts w:cs="Times New Roman"/>
          <w:color w:val="000000" w:themeColor="text1"/>
          <w:lang w:val="zh-CN"/>
        </w:rPr>
        <w:t>计划，实施新产业工人职业技能提升工程。广东在2022年世界技能大赛特别赛上获7金1银1铜2优胜奖，金牌数及奖牌数均占全国1/3，继续稳居全国首位。</w:t>
      </w:r>
      <w:r>
        <w:rPr>
          <w:rFonts w:cs="Times New Roman"/>
          <w:b/>
          <w:bCs/>
          <w:color w:val="000000" w:themeColor="text1"/>
          <w:lang w:val="zh-CN"/>
        </w:rPr>
        <w:t>三是实现</w:t>
      </w:r>
      <w:r>
        <w:rPr>
          <w:rFonts w:hint="eastAsia" w:cs="Times New Roman"/>
          <w:b/>
          <w:bCs/>
          <w:color w:val="000000" w:themeColor="text1"/>
          <w:lang w:val="zh-CN"/>
        </w:rPr>
        <w:t>“</w:t>
      </w:r>
      <w:r>
        <w:rPr>
          <w:rFonts w:cs="Times New Roman"/>
          <w:b/>
          <w:bCs/>
          <w:color w:val="000000" w:themeColor="text1"/>
          <w:lang w:val="zh-CN"/>
        </w:rPr>
        <w:t>南粤家政</w:t>
      </w:r>
      <w:r>
        <w:rPr>
          <w:rFonts w:hint="eastAsia" w:cs="Times New Roman"/>
          <w:b/>
          <w:bCs/>
          <w:color w:val="000000" w:themeColor="text1"/>
          <w:lang w:val="zh-CN"/>
        </w:rPr>
        <w:t>”</w:t>
      </w:r>
      <w:r>
        <w:rPr>
          <w:rFonts w:cs="Times New Roman"/>
          <w:b/>
          <w:bCs/>
          <w:color w:val="000000" w:themeColor="text1"/>
          <w:lang w:val="zh-CN"/>
        </w:rPr>
        <w:t>与家政服务业相互促进。</w:t>
      </w:r>
      <w:bookmarkEnd w:id="28"/>
      <w:r>
        <w:rPr>
          <w:rFonts w:cs="Times New Roman"/>
          <w:szCs w:val="32"/>
        </w:rPr>
        <w:t>开展母婴、居家、养老、医护4大服务项目培训，升级</w:t>
      </w:r>
      <w:r>
        <w:rPr>
          <w:rFonts w:hint="eastAsia" w:cs="Times New Roman"/>
          <w:szCs w:val="32"/>
        </w:rPr>
        <w:t>“南粤家政”</w:t>
      </w:r>
      <w:r>
        <w:rPr>
          <w:rFonts w:cs="Times New Roman"/>
          <w:szCs w:val="32"/>
        </w:rPr>
        <w:t>服务地图，已累计扶持建设省级综合服务示范基地、培训基地、产业园等平台载体55个；构建15分钟家政服务圈，累计建成基层服务站1000余家。举办广东省第二届“南粤家政”技能大赛，吸引3000余人参赛。</w:t>
      </w:r>
    </w:p>
    <w:p>
      <w:pPr>
        <w:pStyle w:val="3"/>
        <w:ind w:firstLine="643"/>
        <w:rPr>
          <w:b/>
          <w:bCs/>
          <w:color w:val="000000" w:themeColor="text1"/>
          <w:lang w:val="zh-CN"/>
        </w:rPr>
      </w:pPr>
      <w:bookmarkStart w:id="29" w:name="_Toc24596"/>
      <w:r>
        <w:rPr>
          <w:rFonts w:hint="eastAsia"/>
          <w:b/>
          <w:bCs/>
          <w:color w:val="000000" w:themeColor="text1"/>
          <w:lang w:val="zh-CN"/>
        </w:rPr>
        <w:t>（</w:t>
      </w:r>
      <w:r>
        <w:rPr>
          <w:rFonts w:hint="eastAsia"/>
          <w:b/>
          <w:bCs/>
          <w:color w:val="000000" w:themeColor="text1"/>
        </w:rPr>
        <w:t>三</w:t>
      </w:r>
      <w:r>
        <w:rPr>
          <w:rFonts w:hint="eastAsia"/>
          <w:b/>
          <w:bCs/>
          <w:color w:val="000000" w:themeColor="text1"/>
          <w:lang w:val="zh-CN"/>
        </w:rPr>
        <w:t>）坚持覆盖全民、兜牢底线，社会保险“安全网”织密扎牢</w:t>
      </w:r>
      <w:r>
        <w:rPr>
          <w:b/>
          <w:bCs/>
          <w:color w:val="000000" w:themeColor="text1"/>
          <w:lang w:val="zh-CN"/>
        </w:rPr>
        <w:t>。</w:t>
      </w:r>
      <w:bookmarkEnd w:id="29"/>
    </w:p>
    <w:p>
      <w:pPr>
        <w:ind w:firstLine="640"/>
        <w:rPr>
          <w:color w:val="000000" w:themeColor="text1"/>
        </w:rPr>
      </w:pPr>
      <w:r>
        <w:rPr>
          <w:rFonts w:hint="eastAsia"/>
          <w:color w:val="000000" w:themeColor="text1"/>
        </w:rPr>
        <w:t>全省养老、工伤、失业保险累计参保1.58亿人次，基金累计结余1.66万亿元，社保卡累计持卡人数1.2亿人，总量均居全国首位。</w:t>
      </w:r>
      <w:r>
        <w:rPr>
          <w:rFonts w:hint="eastAsia"/>
          <w:b/>
          <w:bCs/>
          <w:color w:val="000000" w:themeColor="text1"/>
        </w:rPr>
        <w:t>一是不断提升统筹层次。</w:t>
      </w:r>
      <w:r>
        <w:rPr>
          <w:rFonts w:hint="eastAsia"/>
          <w:color w:val="000000" w:themeColor="text1"/>
        </w:rPr>
        <w:t>落实全国统筹改革，将企业养老保险单位费率由15%调整至14%，暂缓调整2022社保年度缴费基数下限，上解全国统筹调剂资金1159.14亿元。深化机关事业单位养老保险制度改革。实行失业保险基金省级统筹。全域开展新业态从业人员职业伤害保障试点。推进社保卡居民服务“一卡通”试点。</w:t>
      </w:r>
      <w:r>
        <w:rPr>
          <w:rFonts w:hint="eastAsia"/>
          <w:b/>
          <w:bCs/>
          <w:color w:val="000000" w:themeColor="text1"/>
        </w:rPr>
        <w:t>二是稳步提高待遇水平。</w:t>
      </w:r>
      <w:r>
        <w:rPr>
          <w:rFonts w:hint="eastAsia"/>
          <w:color w:val="000000" w:themeColor="text1"/>
        </w:rPr>
        <w:t>实现企业职工养老金18连调，人均养老金提高至2975元/月。城乡居保基础养老金最低标准提至每人每月190元。落实被征地农民社保资金124.3亿元。月人均伤残津贴提高至5156.8元。</w:t>
      </w:r>
      <w:r>
        <w:rPr>
          <w:rFonts w:hint="eastAsia"/>
          <w:b/>
          <w:bCs/>
          <w:color w:val="000000" w:themeColor="text1"/>
        </w:rPr>
        <w:t>三是持续构建支柱体系。</w:t>
      </w:r>
      <w:r>
        <w:rPr>
          <w:rFonts w:hint="eastAsia"/>
          <w:color w:val="000000" w:themeColor="text1"/>
        </w:rPr>
        <w:t>制订企业年金高质量发展若干措施。完成职业年金实账积累297.63亿元。职业年金投资规模约2278亿元，累计投资收益率7.21%。稳步推进个人养老金先行实施工作，开户数超150万、居全国第一。</w:t>
      </w:r>
    </w:p>
    <w:p>
      <w:pPr>
        <w:pStyle w:val="3"/>
        <w:ind w:firstLine="643"/>
        <w:rPr>
          <w:b/>
          <w:bCs/>
          <w:color w:val="000000" w:themeColor="text1"/>
        </w:rPr>
      </w:pPr>
      <w:r>
        <w:rPr>
          <w:rFonts w:hint="eastAsia"/>
          <w:b/>
          <w:bCs/>
          <w:color w:val="000000" w:themeColor="text1"/>
        </w:rPr>
        <w:t>（四）坚持塑造品牌、优化服务，人才集聚“强磁场”拓展深化。</w:t>
      </w:r>
    </w:p>
    <w:p>
      <w:pPr>
        <w:ind w:firstLine="640"/>
        <w:rPr>
          <w:rFonts w:cs="仿宋_GB2312"/>
          <w:color w:val="000000" w:themeColor="text1"/>
          <w:szCs w:val="32"/>
        </w:rPr>
      </w:pPr>
      <w:r>
        <w:rPr>
          <w:rFonts w:hint="eastAsia" w:cs="仿宋_GB2312"/>
          <w:color w:val="000000" w:themeColor="text1"/>
          <w:szCs w:val="32"/>
        </w:rPr>
        <w:t>全省专技人才和技能人才总量分别达891万人和1850万人，其中高层次和高技能人才分别达88万人和631万人，总量均居全国前列。</w:t>
      </w:r>
      <w:r>
        <w:rPr>
          <w:rFonts w:hint="eastAsia" w:cs="仿宋_GB2312"/>
          <w:b/>
          <w:bCs/>
          <w:color w:val="000000" w:themeColor="text1"/>
          <w:szCs w:val="32"/>
        </w:rPr>
        <w:t>一是打造人才工程品牌。</w:t>
      </w:r>
      <w:r>
        <w:rPr>
          <w:rFonts w:hint="eastAsia" w:cs="仿宋_GB2312"/>
          <w:color w:val="000000" w:themeColor="text1"/>
          <w:szCs w:val="32"/>
        </w:rPr>
        <w:t>深入实施“湾区人才”“乡村工匠”工程，建成博士后科研平台1249家、在站博士后超1.2万人。全面完成27个序列职称制度改革。推进乡村工匠职称评价。举办首届大湾区博士博士后创新创业大赛。</w:t>
      </w:r>
      <w:r>
        <w:rPr>
          <w:rFonts w:hint="eastAsia" w:cs="仿宋_GB2312"/>
          <w:b/>
          <w:bCs/>
          <w:color w:val="000000" w:themeColor="text1"/>
          <w:szCs w:val="32"/>
        </w:rPr>
        <w:t>二是完善人才管理机制。</w:t>
      </w:r>
      <w:r>
        <w:rPr>
          <w:rFonts w:hint="eastAsia" w:cs="仿宋_GB2312"/>
          <w:color w:val="000000" w:themeColor="text1"/>
          <w:szCs w:val="32"/>
        </w:rPr>
        <w:t>出台高技能人才与专技人才职业发展贯通方案。制订中小学、高校、科研机构、公立医院薪酬改革方案。修订事业单位公开招聘人员办法。出台事业单位公开招聘技工院校专业参考目录。实施县以下事业单位职员等级晋升。</w:t>
      </w:r>
      <w:r>
        <w:rPr>
          <w:rFonts w:hint="eastAsia" w:cs="仿宋_GB2312"/>
          <w:b/>
          <w:bCs/>
          <w:color w:val="000000" w:themeColor="text1"/>
          <w:szCs w:val="32"/>
        </w:rPr>
        <w:t>三是提升人才服务水平。</w:t>
      </w:r>
      <w:r>
        <w:rPr>
          <w:rFonts w:hint="eastAsia" w:cs="仿宋_GB2312"/>
          <w:color w:val="000000" w:themeColor="text1"/>
          <w:szCs w:val="32"/>
        </w:rPr>
        <w:t>启用大湾区（广东）人才港，建成人力资源服务产业园16家、人才驿站983个，修订2.0版人才优粤卡制度，发放人才优粤卡3621张。</w:t>
      </w:r>
    </w:p>
    <w:p>
      <w:pPr>
        <w:ind w:firstLine="640"/>
        <w:rPr>
          <w:rFonts w:ascii="黑体" w:hAnsi="黑体" w:eastAsia="黑体" w:cs="黑体"/>
          <w:color w:val="000000" w:themeColor="text1"/>
        </w:rPr>
      </w:pPr>
      <w:r>
        <w:rPr>
          <w:rFonts w:hint="eastAsia" w:ascii="黑体" w:hAnsi="黑体" w:eastAsia="黑体" w:cs="黑体"/>
          <w:color w:val="000000" w:themeColor="text1"/>
        </w:rPr>
        <w:t>四、存在主要问题及改进措施。</w:t>
      </w:r>
    </w:p>
    <w:p>
      <w:pPr>
        <w:pStyle w:val="4"/>
        <w:ind w:firstLine="643"/>
        <w:rPr>
          <w:color w:val="000000" w:themeColor="text1"/>
        </w:rPr>
      </w:pPr>
      <w:r>
        <w:rPr>
          <w:rFonts w:hint="eastAsia" w:ascii="楷体_GB2312" w:hAnsi="楷体_GB2312" w:eastAsia="楷体_GB2312" w:cs="楷体_GB2312"/>
          <w:color w:val="000000" w:themeColor="text1"/>
        </w:rPr>
        <w:t>（一）部分工作成效距离人民群众的期盼仍有差距，在服务群众方面仍有较大提升空间。</w:t>
      </w:r>
    </w:p>
    <w:p>
      <w:pPr>
        <w:ind w:firstLine="640"/>
        <w:rPr>
          <w:color w:val="000000" w:themeColor="text1"/>
        </w:rPr>
      </w:pPr>
      <w:r>
        <w:rPr>
          <w:rFonts w:hint="eastAsia"/>
          <w:color w:val="000000" w:themeColor="text1"/>
        </w:rPr>
        <w:t>2022年我厅工作中还存在一些问题和挑战：</w:t>
      </w:r>
      <w:r>
        <w:rPr>
          <w:b/>
          <w:bCs/>
          <w:color w:val="000000" w:themeColor="text1"/>
        </w:rPr>
        <w:t>一是</w:t>
      </w:r>
      <w:r>
        <w:rPr>
          <w:color w:val="000000" w:themeColor="text1"/>
        </w:rPr>
        <w:t>就业形势复杂严峻。高校毕业生就业压力较大，灵活就业占比高与用工不规范矛盾比较突出。</w:t>
      </w:r>
      <w:r>
        <w:rPr>
          <w:b/>
          <w:bCs/>
          <w:color w:val="000000" w:themeColor="text1"/>
        </w:rPr>
        <w:t>二是</w:t>
      </w:r>
      <w:r>
        <w:rPr>
          <w:color w:val="000000" w:themeColor="text1"/>
        </w:rPr>
        <w:t>社保短板有待补齐。社保待遇水平与经济发展水平不相适应，多层次、多支柱养老保险体系有待健全。</w:t>
      </w:r>
      <w:r>
        <w:rPr>
          <w:b/>
          <w:bCs/>
          <w:color w:val="000000" w:themeColor="text1"/>
        </w:rPr>
        <w:t>三是</w:t>
      </w:r>
      <w:r>
        <w:rPr>
          <w:color w:val="000000" w:themeColor="text1"/>
        </w:rPr>
        <w:t>人才发展体制机制有待健全。人才评价科学化水平仍需提升，人才流动壁垒有待进一步破除。</w:t>
      </w:r>
      <w:r>
        <w:rPr>
          <w:b/>
          <w:bCs/>
          <w:color w:val="000000" w:themeColor="text1"/>
        </w:rPr>
        <w:t>四是</w:t>
      </w:r>
      <w:r>
        <w:rPr>
          <w:color w:val="000000" w:themeColor="text1"/>
        </w:rPr>
        <w:t>风险防控有待增强。欠薪案件居高不下，新业态快速发展存在潜在风险隐患</w:t>
      </w:r>
      <w:r>
        <w:rPr>
          <w:rFonts w:hint="eastAsia"/>
          <w:color w:val="000000" w:themeColor="text1"/>
        </w:rPr>
        <w:t>。</w:t>
      </w:r>
    </w:p>
    <w:p>
      <w:pPr>
        <w:ind w:firstLine="640"/>
        <w:rPr>
          <w:color w:val="000000" w:themeColor="text1"/>
        </w:rPr>
      </w:pPr>
      <w:r>
        <w:rPr>
          <w:rFonts w:hint="eastAsia"/>
          <w:color w:val="000000" w:themeColor="text1"/>
        </w:rPr>
        <w:t>针对以上存在问题，我们将继续从以下4方面抓好整改。</w:t>
      </w:r>
      <w:r>
        <w:rPr>
          <w:rFonts w:hint="eastAsia" w:ascii="楷体_GB2312" w:hAnsi="楷体_GB2312" w:eastAsia="楷体_GB2312" w:cs="楷体_GB2312"/>
          <w:b/>
          <w:bCs/>
          <w:color w:val="000000" w:themeColor="text1"/>
        </w:rPr>
        <w:t>一是促进高质量充分就业。</w:t>
      </w:r>
      <w:r>
        <w:rPr>
          <w:rFonts w:hint="eastAsia"/>
          <w:color w:val="000000" w:themeColor="text1"/>
        </w:rPr>
        <w:t>突出就业优先目标导向，坚持稳存量、扩增量、提质量、兜底线，突出抓好高校毕业生、农民工、就业困难人员等重点群体就业，支持中小微企业发挥就业主渠道作用，促进就业容量扩大和质量提升，完成全年就业目标任务，确保就业形势整体稳定。</w:t>
      </w:r>
      <w:r>
        <w:rPr>
          <w:rFonts w:hint="eastAsia" w:ascii="楷体_GB2312" w:hAnsi="楷体_GB2312" w:eastAsia="楷体_GB2312" w:cs="楷体_GB2312"/>
          <w:b/>
          <w:bCs/>
          <w:color w:val="000000" w:themeColor="text1"/>
        </w:rPr>
        <w:t>二是健全多层次社会保障体系。</w:t>
      </w:r>
      <w:r>
        <w:rPr>
          <w:rFonts w:hint="eastAsia"/>
          <w:color w:val="000000" w:themeColor="text1"/>
        </w:rPr>
        <w:t>按国家统一部署贯彻落实企业职工基本养老保险全国统筹，进一步规范完善省级统筹。推动多层次养老保险体系发展。推进职业年金实账积累，指导试点地市做好企业年金扩面工作。按照国家部署推动个人养老金制度实施。</w:t>
      </w:r>
      <w:r>
        <w:rPr>
          <w:rFonts w:hint="eastAsia" w:ascii="楷体_GB2312" w:hAnsi="楷体_GB2312" w:eastAsia="楷体_GB2312" w:cs="楷体_GB2312"/>
          <w:b/>
          <w:bCs/>
          <w:color w:val="000000" w:themeColor="text1"/>
        </w:rPr>
        <w:t>三是紧抓创新聚人才。</w:t>
      </w:r>
      <w:r>
        <w:rPr>
          <w:rFonts w:hint="eastAsia"/>
          <w:color w:val="000000" w:themeColor="text1"/>
        </w:rPr>
        <w:t>加快推进新时代人才强省建设，全力打造粤港澳大湾区高水平人才高地。巩固拓展职称制度改革成果，聚焦“卡脖子”领域探索开展人工智能、技术经纪等前沿技术和新业态职称评价，强化监督指导推动各系列专业职称改革落地。聚焦服务“制造业当家”和“高水平科技自立自强”，统筹抓好技能人才和专业技术人才两支队伍建设，不断深化人才发展体制机制改革，培养造就更多产业人才、大国工匠。</w:t>
      </w:r>
      <w:r>
        <w:rPr>
          <w:rFonts w:hint="eastAsia" w:ascii="楷体_GB2312" w:hAnsi="楷体_GB2312" w:eastAsia="楷体_GB2312" w:cs="楷体_GB2312"/>
          <w:b/>
          <w:bCs/>
          <w:color w:val="000000" w:themeColor="text1"/>
        </w:rPr>
        <w:t>四是紧盯重点防风险。</w:t>
      </w:r>
      <w:r>
        <w:rPr>
          <w:rFonts w:hint="eastAsia"/>
          <w:color w:val="000000" w:themeColor="text1"/>
        </w:rPr>
        <w:t>持续推进“零欠薪城市”创建试点，健全根治欠薪长效机制，加强新业态从业人员劳动权益保障。创新调解仲裁制度机制，加强仲裁办案指导规范化。</w:t>
      </w:r>
    </w:p>
    <w:p>
      <w:pPr>
        <w:pStyle w:val="4"/>
        <w:ind w:firstLine="643"/>
        <w:rPr>
          <w:rFonts w:ascii="楷体_GB2312" w:hAnsi="楷体_GB2312" w:eastAsia="楷体_GB2312" w:cs="楷体_GB2312"/>
        </w:rPr>
      </w:pPr>
      <w:r>
        <w:rPr>
          <w:rFonts w:hint="eastAsia" w:ascii="楷体_GB2312" w:hAnsi="楷体_GB2312" w:eastAsia="楷体_GB2312" w:cs="楷体_GB2312"/>
        </w:rPr>
        <w:t>（二）预算绩效目标设置不够合理。</w:t>
      </w:r>
    </w:p>
    <w:p>
      <w:pPr>
        <w:ind w:firstLine="640"/>
        <w:rPr>
          <w:color w:val="000000" w:themeColor="text1"/>
        </w:rPr>
      </w:pPr>
      <w:r>
        <w:rPr>
          <w:rFonts w:hint="eastAsia"/>
          <w:color w:val="000000" w:themeColor="text1"/>
        </w:rPr>
        <w:t>2022年我厅部门整体产出指标设置不够合理，部分指标年初预期值设定较低，导致指标较易完成或实际完成值远超预期值，数量指标过多而且其他方面指标不足等问题，与部门财政资金管理产生效益不够贴切，直接影响了后续绩效监控和绩效评价。针对以上问题，2023年我厅积极加强绩效管理方面工作，展开以下几项工作：</w:t>
      </w:r>
    </w:p>
    <w:p>
      <w:pPr>
        <w:ind w:firstLine="643"/>
        <w:rPr>
          <w:color w:val="000000" w:themeColor="text1"/>
        </w:rPr>
      </w:pPr>
      <w:r>
        <w:rPr>
          <w:rFonts w:hint="eastAsia"/>
          <w:b/>
          <w:bCs/>
          <w:color w:val="000000" w:themeColor="text1"/>
        </w:rPr>
        <w:t>1.加强提前部署，强化省厅对专项资金绩效管理的统筹谋划。</w:t>
      </w:r>
      <w:r>
        <w:rPr>
          <w:rFonts w:hint="eastAsia"/>
          <w:color w:val="000000" w:themeColor="text1"/>
        </w:rPr>
        <w:t>认真总结2022年度专项资金使用存在问题，针对2023年度资金实际使用需求，由省厅统一部署，下发《关于印发2023年省人力资源社会保障主管资金支出计划和绩效目标的通知》，对专项资金制定了支出计划、绩效目标，并根据资金类别，对项目制专项资金建立了工作台账，对切块下达资金细化了任务清单，进一步加强对各地市的指导，督促各地各单位落实主体责任，找准新年度预算执行面临的重点任务和突出困难，及早落实应对措施，做到早部署、早推动、早支出。</w:t>
      </w:r>
    </w:p>
    <w:p>
      <w:pPr>
        <w:ind w:firstLine="643"/>
        <w:rPr>
          <w:rFonts w:cs="宋体"/>
          <w:color w:val="000000" w:themeColor="text1"/>
        </w:rPr>
      </w:pPr>
      <w:r>
        <w:rPr>
          <w:rFonts w:hint="eastAsia" w:cs="Times New Roman"/>
          <w:b/>
          <w:bCs/>
          <w:color w:val="000000" w:themeColor="text1"/>
          <w:szCs w:val="32"/>
        </w:rPr>
        <w:t>2.</w:t>
      </w:r>
      <w:r>
        <w:rPr>
          <w:rFonts w:hint="eastAsia" w:cs="仿宋_GB2312"/>
          <w:b/>
          <w:bCs/>
          <w:color w:val="000000" w:themeColor="text1"/>
          <w:kern w:val="44"/>
          <w:szCs w:val="32"/>
        </w:rPr>
        <w:t>加强监督检查，加快专项资金预算执行进度。</w:t>
      </w:r>
      <w:r>
        <w:rPr>
          <w:rFonts w:hint="eastAsia" w:cs="宋体"/>
          <w:color w:val="000000" w:themeColor="text1"/>
        </w:rPr>
        <w:t>主要从四个方面多层次、多角度、多手段推进资金预算执行工作：</w:t>
      </w:r>
      <w:r>
        <w:rPr>
          <w:rFonts w:hint="eastAsia" w:cs="仿宋_GB2312"/>
          <w:b/>
          <w:bCs/>
          <w:color w:val="000000" w:themeColor="text1"/>
        </w:rPr>
        <w:t>一是厅领导挂钩督导。</w:t>
      </w:r>
      <w:r>
        <w:rPr>
          <w:rFonts w:hint="eastAsia" w:cs="宋体"/>
          <w:color w:val="000000" w:themeColor="text1"/>
        </w:rPr>
        <w:t>围绕中央和省委“大兴调查研究”的工作要求和厅领导定点联系工作制度，将资金预算执行和绩效管理作为厅领导2023年调查研究和定点联系的重点内容，在年初进行实地调研和督导，了解资金使用管理过程中的突出问题，督促制定整改措施。</w:t>
      </w:r>
      <w:r>
        <w:rPr>
          <w:rFonts w:hint="eastAsia" w:cs="仿宋_GB2312"/>
          <w:b/>
          <w:bCs/>
          <w:color w:val="000000" w:themeColor="text1"/>
        </w:rPr>
        <w:t>二是业务处室分工负责。</w:t>
      </w:r>
      <w:r>
        <w:rPr>
          <w:rFonts w:hint="eastAsia" w:cs="宋体"/>
          <w:color w:val="000000" w:themeColor="text1"/>
        </w:rPr>
        <w:t>厅内由财务部门牵头，各资金主管处室分工协作，联合第三方会计师事务所，挑选资金预算大或上年绩效差的地市，实现现场督导，强化资金使用的过程监督和指导。</w:t>
      </w:r>
      <w:r>
        <w:rPr>
          <w:rFonts w:hint="eastAsia" w:cs="仿宋_GB2312"/>
          <w:b/>
          <w:bCs/>
          <w:color w:val="000000" w:themeColor="text1"/>
        </w:rPr>
        <w:t>三是按月研究专项资金使用管理重大问题。</w:t>
      </w:r>
      <w:r>
        <w:rPr>
          <w:rFonts w:hint="eastAsia" w:cs="宋体"/>
          <w:color w:val="000000" w:themeColor="text1"/>
        </w:rPr>
        <w:t>厅党组按月听取专项资金预算执行和绩效管理情况，及时盘点、梳理、研究专项资金使用管理中存在的“堵点痛点”问题，深入剖析原因，有针对性制定防范和化解措施，提升资金使用进度和绩效管理水平。根据“数字财政”显示，截至2023年7月15日，我厅主管资金在省直单位政府系统中排名第1，部门预算排名第4。</w:t>
      </w:r>
      <w:r>
        <w:rPr>
          <w:rFonts w:hint="eastAsia" w:cs="仿宋_GB2312"/>
          <w:b/>
          <w:bCs/>
          <w:color w:val="000000" w:themeColor="text1"/>
        </w:rPr>
        <w:t>四是多手段强化督导。</w:t>
      </w:r>
      <w:r>
        <w:rPr>
          <w:rFonts w:hint="eastAsia" w:cs="宋体"/>
          <w:color w:val="000000" w:themeColor="text1"/>
        </w:rPr>
        <w:t>对监控过程中发现的在预算执行和绩效管理方面存在苗头性问题的地市和单位，发出提醒函并抄送当地市政府。对提醒后整改不力的，重点进行实地督导，有必要的直接约谈主要负责同志。</w:t>
      </w:r>
    </w:p>
    <w:p>
      <w:pPr>
        <w:ind w:firstLine="643"/>
        <w:rPr>
          <w:rFonts w:cs="Times New Roman"/>
          <w:color w:val="000000" w:themeColor="text1"/>
          <w:szCs w:val="32"/>
        </w:rPr>
      </w:pPr>
      <w:r>
        <w:rPr>
          <w:rFonts w:hint="eastAsia" w:cs="仿宋_GB2312"/>
          <w:b/>
          <w:bCs/>
          <w:color w:val="000000" w:themeColor="text1"/>
          <w:kern w:val="44"/>
          <w:szCs w:val="32"/>
        </w:rPr>
        <w:t>3.强化业务培训，提升全人社系统绩效管理能力和水平。</w:t>
      </w:r>
      <w:r>
        <w:rPr>
          <w:rFonts w:hint="eastAsia" w:cs="Times New Roman"/>
          <w:color w:val="000000" w:themeColor="text1"/>
          <w:szCs w:val="32"/>
        </w:rPr>
        <w:t>建立常态化的人社系统财务管理业务培训制度，并将绩效管理作为培训的重要内容，面向厅各局处室、厅属单位、市县2级财务管理人员，开展绩效管理业务培训，邀请绩效评价专家，针对预算编制过程中绩效目标设置、事中和事后绩效评价常见多发问题，开展专项培训，帮助各地各单位进一步强化绩效管理意识，提升绩效管理的业务能力和水平。2023年3月已完成第一期培训，预计在今年8月结合2024年预算编制，还要再开展一场专项的绩效目标编制培训。</w:t>
      </w:r>
    </w:p>
    <w:p>
      <w:pPr>
        <w:ind w:firstLine="643"/>
        <w:rPr>
          <w:rFonts w:cs="Times New Roman"/>
          <w:color w:val="000000" w:themeColor="text1"/>
          <w:szCs w:val="32"/>
        </w:rPr>
      </w:pPr>
      <w:r>
        <w:rPr>
          <w:rFonts w:hint="eastAsia" w:cs="仿宋_GB2312"/>
          <w:b/>
          <w:bCs/>
          <w:color w:val="000000" w:themeColor="text1"/>
          <w:kern w:val="44"/>
          <w:szCs w:val="32"/>
        </w:rPr>
        <w:t>4.加强制度建设，建立健全厅绩效管理制度体系。</w:t>
      </w:r>
      <w:r>
        <w:rPr>
          <w:rFonts w:hint="eastAsia" w:cs="Times New Roman"/>
          <w:bCs/>
          <w:color w:val="000000" w:themeColor="text1"/>
          <w:szCs w:val="32"/>
        </w:rPr>
        <w:t>目前，我厅将绩效管理相关要求，分别以独立章节或条款的形式，写入厅的专项资金管理办法，厅机关和厅下属单位的财务管理办法，在制度的层面要求各地市、各用款单位在年度结束后，必须对上年度资金和项目必须开展绩效评价，但尚缺乏一个专项的、用于指导全厅的绩效管理办法。为尽快补齐这一绩效管理制度短板，我厅已开始着手制定专项的全厅财政资金绩效管理办法，预计将在今年9月底前正式出台。</w:t>
      </w:r>
    </w:p>
    <w:p>
      <w:pPr>
        <w:ind w:firstLine="643"/>
        <w:rPr>
          <w:rFonts w:cs="Times New Roman"/>
          <w:color w:val="000000" w:themeColor="text1"/>
          <w:szCs w:val="32"/>
        </w:rPr>
      </w:pPr>
      <w:r>
        <w:rPr>
          <w:rFonts w:hint="eastAsia" w:cs="仿宋_GB2312"/>
          <w:b/>
          <w:bCs/>
          <w:color w:val="000000" w:themeColor="text1"/>
          <w:kern w:val="44"/>
          <w:szCs w:val="32"/>
        </w:rPr>
        <w:t>5.密切联系业务，探索建立具有人社特色的指标体系。</w:t>
      </w:r>
      <w:r>
        <w:rPr>
          <w:rFonts w:hint="eastAsia" w:cs="Times New Roman"/>
          <w:color w:val="000000" w:themeColor="text1"/>
          <w:szCs w:val="32"/>
        </w:rPr>
        <w:t>进一步借鉴省财政厅部门整体支出核心绩效指标体系建设的先进经验，结合人社实际工作，尝试将核心指标建设拓展到全厅14项专项资金政策任务和15项其他事业发展性支出中去，争取每项资金、每类项目都设置3—5个相对稳定的核心绩效指标，探索建立契合国家和省重点工作、具有一定人社特色的分资金、分项目、全覆盖的核心指标体系。</w:t>
      </w:r>
    </w:p>
    <w:p>
      <w:pPr>
        <w:ind w:firstLine="643"/>
      </w:pPr>
      <w:r>
        <w:rPr>
          <w:rFonts w:hint="eastAsia" w:cs="仿宋_GB2312"/>
          <w:b/>
          <w:bCs/>
          <w:color w:val="000000" w:themeColor="text1"/>
          <w:kern w:val="44"/>
          <w:szCs w:val="32"/>
        </w:rPr>
        <w:t>6.强化绩效成果应用，突显绩效在资金管理中的“风向标”作用。</w:t>
      </w:r>
      <w:r>
        <w:rPr>
          <w:rFonts w:hint="eastAsia" w:cs="仿宋_GB2312"/>
          <w:b/>
          <w:bCs/>
          <w:color w:val="000000" w:themeColor="text1"/>
        </w:rPr>
        <w:t>一是将评价结果与资金分配挂钩。</w:t>
      </w:r>
      <w:r>
        <w:rPr>
          <w:rFonts w:hint="eastAsia" w:cs="Times New Roman"/>
          <w:color w:val="000000" w:themeColor="text1"/>
          <w:szCs w:val="32"/>
        </w:rPr>
        <w:t>对采用项目制分配的资金，在编制2024年度预算时，对评价存在较为突出问题或整改尚未完成的，采取调整资金支出方向、支出结构、适当减少项目资金预算或取消该项目等方式进行结果应用。对采用公式因素法分配的资金，设置绩效审计系数，绩效越好，分配资金越多，引导资金流向预算执行快、使用绩效好的地区。</w:t>
      </w:r>
      <w:r>
        <w:rPr>
          <w:rFonts w:hint="eastAsia" w:cs="仿宋_GB2312"/>
          <w:b/>
          <w:bCs/>
          <w:color w:val="000000" w:themeColor="text1"/>
        </w:rPr>
        <w:t>二是助推相关政策更新完善。</w:t>
      </w:r>
      <w:r>
        <w:rPr>
          <w:rFonts w:hint="eastAsia" w:cs="Times New Roman"/>
          <w:color w:val="000000" w:themeColor="text1"/>
          <w:szCs w:val="32"/>
        </w:rPr>
        <w:t>坚持结果导向和问题导向，通过绩效评价，对相关业务政策实施前后的效果和政策目标实现情况进行持续跟踪分析，政策缺失的及时查漏补缺，政策滞后于经济社会发展变化的，及时更新完善相关政策。</w:t>
      </w:r>
    </w:p>
    <w:p>
      <w:pPr>
        <w:pStyle w:val="2"/>
        <w:ind w:firstLine="640"/>
        <w:rPr>
          <w:color w:val="000000" w:themeColor="text1"/>
        </w:rPr>
      </w:pPr>
      <w:bookmarkStart w:id="30" w:name="_Toc5999"/>
      <w:r>
        <w:rPr>
          <w:rFonts w:hint="eastAsia"/>
          <w:color w:val="000000" w:themeColor="text1"/>
        </w:rPr>
        <w:t>五、上年度绩效自评整改情况</w:t>
      </w:r>
      <w:bookmarkEnd w:id="30"/>
    </w:p>
    <w:p>
      <w:pPr>
        <w:ind w:firstLine="640"/>
        <w:rPr>
          <w:rFonts w:cs="Times New Roman"/>
          <w:color w:val="000000" w:themeColor="text1"/>
          <w:szCs w:val="32"/>
        </w:rPr>
      </w:pPr>
      <w:r>
        <w:rPr>
          <w:rFonts w:hint="eastAsia" w:cs="Times New Roman"/>
          <w:color w:val="000000" w:themeColor="text1"/>
          <w:szCs w:val="32"/>
        </w:rPr>
        <w:t>针对2022年度重点绩效评价指出的我厅2022年度“三项工程”资金使用中存在的问题，我厅坚持问题导向，逐项剖析问题产生的原因，从加强预算管理、项目管理、完善体制机制入手，深入开展整改工作，并于2023年4月20日将整改情况，发函《关于报送2022年省级财政重点绩效评价报告反映问题整改情况的函》报送财政厅，详见附件4。</w:t>
      </w:r>
    </w:p>
    <w:p>
      <w:pPr>
        <w:ind w:firstLine="0" w:firstLineChars="0"/>
        <w:rPr>
          <w:color w:val="000000" w:themeColor="text1"/>
        </w:rPr>
      </w:pPr>
    </w:p>
    <w:p>
      <w:pPr>
        <w:pStyle w:val="21"/>
        <w:rPr>
          <w:rFonts w:hint="default" w:ascii="Times New Roman" w:hAnsi="Times New Roman"/>
          <w:color w:val="000000" w:themeColor="text1"/>
        </w:rPr>
      </w:pPr>
    </w:p>
    <w:p>
      <w:pPr>
        <w:ind w:firstLine="640"/>
        <w:rPr>
          <w:color w:val="000000" w:themeColor="text1"/>
        </w:rPr>
      </w:pPr>
      <w:r>
        <w:rPr>
          <w:rFonts w:hint="eastAsia"/>
          <w:color w:val="000000" w:themeColor="text1"/>
        </w:rPr>
        <w:t>附件：1.2022年部门整体支出绩效自评指标评分表</w:t>
      </w:r>
    </w:p>
    <w:p>
      <w:pPr>
        <w:ind w:left="1920" w:leftChars="500" w:hanging="320" w:hangingChars="100"/>
        <w:rPr>
          <w:color w:val="000000" w:themeColor="text1"/>
        </w:rPr>
      </w:pPr>
      <w:r>
        <w:rPr>
          <w:rFonts w:hint="eastAsia"/>
          <w:color w:val="000000" w:themeColor="text1"/>
        </w:rPr>
        <w:t>2.部门整体支出绩效自评产出、效益指标完成情况统计表</w:t>
      </w:r>
    </w:p>
    <w:p>
      <w:pPr>
        <w:ind w:firstLine="1600" w:firstLineChars="500"/>
        <w:rPr>
          <w:color w:val="000000" w:themeColor="text1"/>
        </w:rPr>
      </w:pPr>
      <w:r>
        <w:rPr>
          <w:rFonts w:hint="eastAsia"/>
          <w:color w:val="000000" w:themeColor="text1"/>
        </w:rPr>
        <w:t>3-1.部门经济成本分析自评表</w:t>
      </w:r>
    </w:p>
    <w:p>
      <w:pPr>
        <w:ind w:left="2240" w:leftChars="500" w:hanging="640" w:hangingChars="200"/>
        <w:rPr>
          <w:color w:val="000000" w:themeColor="text1"/>
        </w:rPr>
      </w:pPr>
      <w:r>
        <w:rPr>
          <w:rFonts w:hint="eastAsia"/>
          <w:color w:val="000000" w:themeColor="text1"/>
        </w:rPr>
        <w:t>3-2.人社厅关于部门经济成本分析与系统评分不一致情况说明</w:t>
      </w:r>
    </w:p>
    <w:p>
      <w:pPr>
        <w:ind w:firstLine="1600" w:firstLineChars="500"/>
        <w:rPr>
          <w:color w:val="000000" w:themeColor="text1"/>
        </w:rPr>
      </w:pPr>
      <w:r>
        <w:rPr>
          <w:rFonts w:hint="eastAsia"/>
          <w:color w:val="000000" w:themeColor="text1"/>
        </w:rPr>
        <w:t>4.关于2022年省级财政重点绩效评价的整改报告</w:t>
      </w:r>
    </w:p>
    <w:sectPr>
      <w:footerReference r:id="rId11" w:type="default"/>
      <w:pgSz w:w="11906" w:h="16838"/>
      <w:pgMar w:top="1440" w:right="1587" w:bottom="1440" w:left="1587" w:header="851" w:footer="992" w:gutter="0"/>
      <w:pgNumType w:fmt="numberInDash"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Century Schoolbook">
    <w:altName w:val="汉仪中秀体简"/>
    <w:panose1 w:val="00000000000000000000"/>
    <w:charset w:val="00"/>
    <w:family w:val="roman"/>
    <w:pitch w:val="default"/>
    <w:sig w:usb0="00000000" w:usb1="00000000" w:usb2="00000000" w:usb3="00000000" w:csb0="2000009F" w:csb1="DFD7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modern"/>
    <w:pitch w:val="default"/>
    <w:sig w:usb0="00000001" w:usb1="080E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创艺简标宋">
    <w:panose1 w:val="00000000000000000000"/>
    <w:charset w:val="00"/>
    <w:family w:val="auto"/>
    <w:pitch w:val="default"/>
    <w:sig w:usb0="00000000" w:usb1="00000000" w:usb2="00000000" w:usb3="00000000" w:csb0="00000000" w:csb1="00000000"/>
  </w:font>
  <w:font w:name="汉仪中秀体简">
    <w:panose1 w:val="00020600040101010101"/>
    <w:charset w:val="86"/>
    <w:family w:val="auto"/>
    <w:pitch w:val="default"/>
    <w:sig w:usb0="A00002BF" w:usb1="1ACF7CFA" w:usb2="00000016" w:usb3="00000000" w:csb0="0004009F" w:csb1="00000000"/>
  </w:font>
  <w:font w:name="DejaVu Sans">
    <w:panose1 w:val="020B0603030804020204"/>
    <w:charset w:val="00"/>
    <w:family w:val="auto"/>
    <w:pitch w:val="default"/>
    <w:sig w:usb0="E7006EFF" w:usb1="D200FDFF" w:usb2="0A246029" w:usb3="0400200C" w:csb0="600001FF" w:csb1="DFFF0000"/>
  </w:font>
  <w:font w:name="方正宋体S-超大字符集">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WAAAAZHJzL1BLAQIUABQAAAAIAIdO4kCzSVju&#10;0AAAAAUBAAAPAAAAAAAAAAEAIAAAADgAAABkcnMvZG93bnJldi54bWxQSwECFAAUAAAACACHTuJA&#10;OOeXwRMCAAAZBAAADgAAAAAAAAABACAAAAA1AQAAZHJzL2Uyb0RvYy54bWxQSwUGAAAAAAYABgBZ&#10;AQAAugUAAAAA&#10;">
          <v:path/>
          <v:fill on="f" focussize="0,0"/>
          <v:stroke on="f" weight="0.5pt" joinstyle="miter"/>
          <v:imagedata o:title=""/>
          <o:lock v:ext="edit"/>
          <v:textbox inset="0mm,0mm,0mm,0mm" style="mso-fit-shape-to-text:t;">
            <w:txbxContent>
              <w:p>
                <w:pPr>
                  <w:pStyle w:val="10"/>
                  <w:ind w:firstLine="560"/>
                </w:pPr>
                <w:r>
                  <w:rPr>
                    <w:sz w:val="28"/>
                    <w:szCs w:val="44"/>
                  </w:rPr>
                  <w:fldChar w:fldCharType="begin"/>
                </w:r>
                <w:r>
                  <w:rPr>
                    <w:sz w:val="28"/>
                    <w:szCs w:val="44"/>
                  </w:rPr>
                  <w:instrText xml:space="preserve"> PAGE  \* MERGEFORMAT </w:instrText>
                </w:r>
                <w:r>
                  <w:rPr>
                    <w:sz w:val="28"/>
                    <w:szCs w:val="44"/>
                  </w:rPr>
                  <w:fldChar w:fldCharType="separate"/>
                </w:r>
                <w:r>
                  <w:rPr>
                    <w:sz w:val="28"/>
                    <w:szCs w:val="44"/>
                  </w:rPr>
                  <w:t>- 22 -</w:t>
                </w:r>
                <w:r>
                  <w:rPr>
                    <w:sz w:val="28"/>
                    <w:szCs w:val="44"/>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pPr>
        <w:spacing w:line="240" w:lineRule="auto"/>
        <w:ind w:firstLine="640"/>
      </w:pPr>
      <w:r>
        <w:separator/>
      </w:r>
    </w:p>
  </w:footnote>
  <w:footnote w:type="continuationSeparator" w:id="3">
    <w:p>
      <w:pPr>
        <w:spacing w:line="240" w:lineRule="auto"/>
        <w:ind w:firstLine="640"/>
      </w:pPr>
      <w:r>
        <w:continuationSeparator/>
      </w:r>
    </w:p>
  </w:footnote>
  <w:footnote w:id="0">
    <w:p>
      <w:pPr>
        <w:pStyle w:val="13"/>
        <w:spacing w:line="240" w:lineRule="auto"/>
        <w:ind w:firstLine="360"/>
      </w:pPr>
      <w:r>
        <w:rPr>
          <w:rStyle w:val="20"/>
        </w:rPr>
        <w:footnoteRef/>
      </w:r>
      <w:r>
        <w:t xml:space="preserve"> </w:t>
      </w:r>
      <w:r>
        <w:rPr>
          <w:rFonts w:hint="eastAsia"/>
        </w:rPr>
        <w:t>注：各项支出的</w:t>
      </w:r>
      <w:r>
        <w:t>排名情况</w:t>
      </w:r>
      <w:r>
        <w:rPr>
          <w:rFonts w:hint="eastAsia"/>
        </w:rPr>
        <w:t>按照省财厅发布的</w:t>
      </w:r>
      <w:r>
        <w:t>《</w:t>
      </w:r>
      <w:r>
        <w:rPr>
          <w:rFonts w:hint="eastAsia"/>
        </w:rPr>
        <w:t>部门经济成本分析指标对比标准表</w:t>
      </w:r>
      <w:r>
        <w:t>》确定，分别为前20</w:t>
      </w:r>
      <w:r>
        <w:rPr>
          <w:rFonts w:hint="eastAsia"/>
        </w:rPr>
        <w:t>名</w:t>
      </w:r>
      <w:r>
        <w:t>、</w:t>
      </w:r>
    </w:p>
    <w:p>
      <w:pPr>
        <w:pStyle w:val="13"/>
        <w:spacing w:line="240" w:lineRule="auto"/>
        <w:ind w:firstLine="360"/>
      </w:pPr>
      <w:r>
        <w:t>中间、后20</w:t>
      </w:r>
      <w:r>
        <w:rPr>
          <w:rFonts w:hint="eastAsia"/>
        </w:rPr>
        <w:t>名。</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816459"/>
    <w:multiLevelType w:val="singleLevel"/>
    <w:tmpl w:val="9B816459"/>
    <w:lvl w:ilvl="0" w:tentative="0">
      <w:start w:val="1"/>
      <w:numFmt w:val="chineseCounting"/>
      <w:suff w:val="nothing"/>
      <w:lvlText w:val="%1、"/>
      <w:lvlJc w:val="left"/>
      <w:rPr>
        <w:rFonts w:hint="eastAsia"/>
      </w:rPr>
    </w:lvl>
  </w:abstractNum>
  <w:abstractNum w:abstractNumId="1">
    <w:nsid w:val="C6E4D5D2"/>
    <w:multiLevelType w:val="singleLevel"/>
    <w:tmpl w:val="C6E4D5D2"/>
    <w:lvl w:ilvl="0" w:tentative="0">
      <w:start w:val="3"/>
      <w:numFmt w:val="decimal"/>
      <w:suff w:val="nothing"/>
      <w:lvlText w:val="（%1）"/>
      <w:lvlJc w:val="left"/>
    </w:lvl>
  </w:abstractNum>
  <w:abstractNum w:abstractNumId="2">
    <w:nsid w:val="E0556549"/>
    <w:multiLevelType w:val="singleLevel"/>
    <w:tmpl w:val="E0556549"/>
    <w:lvl w:ilvl="0" w:tentative="0">
      <w:start w:val="1"/>
      <w:numFmt w:val="chineseCounting"/>
      <w:suff w:val="nothing"/>
      <w:lvlText w:val="（%1）"/>
      <w:lvlJc w:val="left"/>
      <w:pPr>
        <w:ind w:left="-640"/>
      </w:pPr>
      <w:rPr>
        <w:rFonts w:hint="eastAsia"/>
      </w:rPr>
    </w:lvl>
  </w:abstractNum>
  <w:abstractNum w:abstractNumId="3">
    <w:nsid w:val="F3CF7212"/>
    <w:multiLevelType w:val="singleLevel"/>
    <w:tmpl w:val="F3CF7212"/>
    <w:lvl w:ilvl="0" w:tentative="0">
      <w:start w:val="1"/>
      <w:numFmt w:val="chineseCounting"/>
      <w:suff w:val="nothing"/>
      <w:lvlText w:val="（%1）"/>
      <w:lvlJc w:val="left"/>
      <w:rPr>
        <w:rFonts w:hint="eastAsia"/>
      </w:rPr>
    </w:lvl>
  </w:abstractNum>
  <w:abstractNum w:abstractNumId="4">
    <w:nsid w:val="3BDE17CF"/>
    <w:multiLevelType w:val="singleLevel"/>
    <w:tmpl w:val="3BDE17CF"/>
    <w:lvl w:ilvl="0" w:tentative="0">
      <w:start w:val="1"/>
      <w:numFmt w:val="decimal"/>
      <w:suff w:val="nothing"/>
      <w:lvlText w:val="（%1）"/>
      <w:lvlJc w:val="left"/>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true"/>
  <w:embedSystemFonts/>
  <w:trackRevisions w:val="true"/>
  <w:documentProtection w:enforcement="0"/>
  <w:defaultTabStop w:val="420"/>
  <w:drawingGridVerticalSpacing w:val="156"/>
  <w:noPunctuationKerning w:val="true"/>
  <w:characterSpacingControl w:val="compressPunctuation"/>
  <w:hdrShapeDefaults>
    <o:shapelayout v:ext="edit">
      <o:idmap v:ext="edit" data="1"/>
    </o:shapelayout>
  </w:hdrShapeDefaults>
  <w:footnotePr>
    <w:footnote w:id="2"/>
    <w:footnote w:id="3"/>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NTdhZjVjNzQ1ZDBmMTYzNWM3YmU1MzkxYmY3NDlkY2QifQ=="/>
  </w:docVars>
  <w:rsids>
    <w:rsidRoot w:val="0097767C"/>
    <w:rsid w:val="00044F3C"/>
    <w:rsid w:val="000701D5"/>
    <w:rsid w:val="00132B00"/>
    <w:rsid w:val="0022715B"/>
    <w:rsid w:val="0023692C"/>
    <w:rsid w:val="00351C30"/>
    <w:rsid w:val="00495DB9"/>
    <w:rsid w:val="00580831"/>
    <w:rsid w:val="00597F31"/>
    <w:rsid w:val="005F19F8"/>
    <w:rsid w:val="006E1CCC"/>
    <w:rsid w:val="00735DF7"/>
    <w:rsid w:val="00740312"/>
    <w:rsid w:val="0078082C"/>
    <w:rsid w:val="0081693F"/>
    <w:rsid w:val="00817476"/>
    <w:rsid w:val="0097767C"/>
    <w:rsid w:val="00A16E1B"/>
    <w:rsid w:val="00A5559F"/>
    <w:rsid w:val="00A842E2"/>
    <w:rsid w:val="00B15E3E"/>
    <w:rsid w:val="00BE32D4"/>
    <w:rsid w:val="00C21CB2"/>
    <w:rsid w:val="00C6514C"/>
    <w:rsid w:val="00E432AD"/>
    <w:rsid w:val="00E528B7"/>
    <w:rsid w:val="00FB2A45"/>
    <w:rsid w:val="02FC62BC"/>
    <w:rsid w:val="03024C61"/>
    <w:rsid w:val="035A1C0C"/>
    <w:rsid w:val="036725AE"/>
    <w:rsid w:val="03AA28AC"/>
    <w:rsid w:val="03B868B7"/>
    <w:rsid w:val="04206073"/>
    <w:rsid w:val="04F4053A"/>
    <w:rsid w:val="052721A3"/>
    <w:rsid w:val="05377EC3"/>
    <w:rsid w:val="057D0884"/>
    <w:rsid w:val="06FB1CE2"/>
    <w:rsid w:val="07097184"/>
    <w:rsid w:val="08036722"/>
    <w:rsid w:val="095C5D9F"/>
    <w:rsid w:val="09866978"/>
    <w:rsid w:val="0A2E773B"/>
    <w:rsid w:val="0A457378"/>
    <w:rsid w:val="0ABE10EC"/>
    <w:rsid w:val="0CDD3283"/>
    <w:rsid w:val="0D484B7B"/>
    <w:rsid w:val="0E343B08"/>
    <w:rsid w:val="0E7C659C"/>
    <w:rsid w:val="0EC91ED6"/>
    <w:rsid w:val="0EFB5F0C"/>
    <w:rsid w:val="0F5209B2"/>
    <w:rsid w:val="0FB10CAA"/>
    <w:rsid w:val="0FF55E19"/>
    <w:rsid w:val="102666BF"/>
    <w:rsid w:val="10F13271"/>
    <w:rsid w:val="110411F6"/>
    <w:rsid w:val="117339EF"/>
    <w:rsid w:val="11951E4E"/>
    <w:rsid w:val="12535865"/>
    <w:rsid w:val="135C135C"/>
    <w:rsid w:val="13AE7F92"/>
    <w:rsid w:val="13E254B9"/>
    <w:rsid w:val="14096B23"/>
    <w:rsid w:val="14863420"/>
    <w:rsid w:val="14D64E78"/>
    <w:rsid w:val="15505288"/>
    <w:rsid w:val="16046FA1"/>
    <w:rsid w:val="16827983"/>
    <w:rsid w:val="16E4037D"/>
    <w:rsid w:val="16F77107"/>
    <w:rsid w:val="1763654B"/>
    <w:rsid w:val="17884203"/>
    <w:rsid w:val="17AC5C68"/>
    <w:rsid w:val="18A21883"/>
    <w:rsid w:val="18AF486F"/>
    <w:rsid w:val="18D2076A"/>
    <w:rsid w:val="18D763C3"/>
    <w:rsid w:val="1A361CF4"/>
    <w:rsid w:val="1A3A15D8"/>
    <w:rsid w:val="1A4408B5"/>
    <w:rsid w:val="1AC60017"/>
    <w:rsid w:val="1B14355B"/>
    <w:rsid w:val="1C1222ED"/>
    <w:rsid w:val="1C8E5E18"/>
    <w:rsid w:val="1CB50762"/>
    <w:rsid w:val="1D7619B2"/>
    <w:rsid w:val="1DA0383E"/>
    <w:rsid w:val="1E162569"/>
    <w:rsid w:val="1E2B30F8"/>
    <w:rsid w:val="1E5D1F46"/>
    <w:rsid w:val="1E767413"/>
    <w:rsid w:val="1EA41F6E"/>
    <w:rsid w:val="1FAE5DDA"/>
    <w:rsid w:val="208F6602"/>
    <w:rsid w:val="214178FD"/>
    <w:rsid w:val="218E0668"/>
    <w:rsid w:val="21EB1629"/>
    <w:rsid w:val="22402115"/>
    <w:rsid w:val="22574E59"/>
    <w:rsid w:val="225E704E"/>
    <w:rsid w:val="22BB06EC"/>
    <w:rsid w:val="23C56018"/>
    <w:rsid w:val="23DB4965"/>
    <w:rsid w:val="23E7557B"/>
    <w:rsid w:val="24096FC2"/>
    <w:rsid w:val="249B5576"/>
    <w:rsid w:val="25506F27"/>
    <w:rsid w:val="26327904"/>
    <w:rsid w:val="26716068"/>
    <w:rsid w:val="267A2B55"/>
    <w:rsid w:val="2688517C"/>
    <w:rsid w:val="26B517B8"/>
    <w:rsid w:val="26EC5F5F"/>
    <w:rsid w:val="27C5631B"/>
    <w:rsid w:val="27CF6E59"/>
    <w:rsid w:val="280827DA"/>
    <w:rsid w:val="296A4602"/>
    <w:rsid w:val="2A3D7280"/>
    <w:rsid w:val="2A823FDD"/>
    <w:rsid w:val="2CC967C5"/>
    <w:rsid w:val="2CD1317B"/>
    <w:rsid w:val="2E6C3ADF"/>
    <w:rsid w:val="2F661529"/>
    <w:rsid w:val="2F8E13F6"/>
    <w:rsid w:val="2FAE65DD"/>
    <w:rsid w:val="2FCC2509"/>
    <w:rsid w:val="30C46377"/>
    <w:rsid w:val="31180235"/>
    <w:rsid w:val="31832E20"/>
    <w:rsid w:val="31BD2665"/>
    <w:rsid w:val="31FF7466"/>
    <w:rsid w:val="32FC18D5"/>
    <w:rsid w:val="330904BB"/>
    <w:rsid w:val="338149D6"/>
    <w:rsid w:val="33D313E6"/>
    <w:rsid w:val="35285709"/>
    <w:rsid w:val="3651018A"/>
    <w:rsid w:val="36602C8E"/>
    <w:rsid w:val="376F561A"/>
    <w:rsid w:val="379320DC"/>
    <w:rsid w:val="37AB4C6F"/>
    <w:rsid w:val="38044656"/>
    <w:rsid w:val="384C7F84"/>
    <w:rsid w:val="3882287D"/>
    <w:rsid w:val="391031B9"/>
    <w:rsid w:val="3B084364"/>
    <w:rsid w:val="3B5A07D7"/>
    <w:rsid w:val="3B8C53DF"/>
    <w:rsid w:val="3C4542ED"/>
    <w:rsid w:val="3CCA7D65"/>
    <w:rsid w:val="3DB57251"/>
    <w:rsid w:val="3DFC7E18"/>
    <w:rsid w:val="3E94330A"/>
    <w:rsid w:val="3F095DF9"/>
    <w:rsid w:val="3FB70E7D"/>
    <w:rsid w:val="3FE644B0"/>
    <w:rsid w:val="400B13AA"/>
    <w:rsid w:val="402874D5"/>
    <w:rsid w:val="40361759"/>
    <w:rsid w:val="40BF050F"/>
    <w:rsid w:val="40F42E2D"/>
    <w:rsid w:val="41D26D49"/>
    <w:rsid w:val="422A1960"/>
    <w:rsid w:val="42B719A7"/>
    <w:rsid w:val="441427F7"/>
    <w:rsid w:val="44C4421D"/>
    <w:rsid w:val="45A74DA6"/>
    <w:rsid w:val="460A6FC5"/>
    <w:rsid w:val="463815EE"/>
    <w:rsid w:val="46AD4B9C"/>
    <w:rsid w:val="47233FEA"/>
    <w:rsid w:val="4781006E"/>
    <w:rsid w:val="480E20AA"/>
    <w:rsid w:val="48270D4B"/>
    <w:rsid w:val="48704C9F"/>
    <w:rsid w:val="48B656B0"/>
    <w:rsid w:val="49051BEF"/>
    <w:rsid w:val="4A3946ED"/>
    <w:rsid w:val="4AB84B2B"/>
    <w:rsid w:val="4B9F53AC"/>
    <w:rsid w:val="4C790761"/>
    <w:rsid w:val="4C7B59CC"/>
    <w:rsid w:val="4C8827CD"/>
    <w:rsid w:val="4CCF0757"/>
    <w:rsid w:val="4D0912E0"/>
    <w:rsid w:val="4D492A47"/>
    <w:rsid w:val="4DD43054"/>
    <w:rsid w:val="4EB5257A"/>
    <w:rsid w:val="4F80660C"/>
    <w:rsid w:val="4FF0236A"/>
    <w:rsid w:val="509251CF"/>
    <w:rsid w:val="50A7793B"/>
    <w:rsid w:val="518E183C"/>
    <w:rsid w:val="51982AB8"/>
    <w:rsid w:val="51B7313F"/>
    <w:rsid w:val="52146C33"/>
    <w:rsid w:val="52740362"/>
    <w:rsid w:val="52B65A90"/>
    <w:rsid w:val="534529CD"/>
    <w:rsid w:val="53BD3469"/>
    <w:rsid w:val="5552317F"/>
    <w:rsid w:val="55DC04A5"/>
    <w:rsid w:val="55E26ECE"/>
    <w:rsid w:val="56561F63"/>
    <w:rsid w:val="57996E43"/>
    <w:rsid w:val="58C3061C"/>
    <w:rsid w:val="59382E5D"/>
    <w:rsid w:val="59E235A9"/>
    <w:rsid w:val="5A614298"/>
    <w:rsid w:val="5A660777"/>
    <w:rsid w:val="5A6C083F"/>
    <w:rsid w:val="5A7143C3"/>
    <w:rsid w:val="5A902780"/>
    <w:rsid w:val="5ACF0F58"/>
    <w:rsid w:val="5B8A5FB9"/>
    <w:rsid w:val="5C051BF8"/>
    <w:rsid w:val="5C435FD2"/>
    <w:rsid w:val="5DFC4C10"/>
    <w:rsid w:val="5E5C69A6"/>
    <w:rsid w:val="5E5E2E6A"/>
    <w:rsid w:val="5ED07420"/>
    <w:rsid w:val="5F813CFF"/>
    <w:rsid w:val="5FCA5FE5"/>
    <w:rsid w:val="603C642B"/>
    <w:rsid w:val="61535920"/>
    <w:rsid w:val="61B60F90"/>
    <w:rsid w:val="62594BDB"/>
    <w:rsid w:val="62620037"/>
    <w:rsid w:val="62ED1BB4"/>
    <w:rsid w:val="64BF607F"/>
    <w:rsid w:val="64F14763"/>
    <w:rsid w:val="65103AFC"/>
    <w:rsid w:val="65385BA1"/>
    <w:rsid w:val="655A4D8E"/>
    <w:rsid w:val="65DA5ED5"/>
    <w:rsid w:val="667A3B58"/>
    <w:rsid w:val="671D2532"/>
    <w:rsid w:val="67337DB7"/>
    <w:rsid w:val="67C40299"/>
    <w:rsid w:val="67DF0828"/>
    <w:rsid w:val="680C5AA5"/>
    <w:rsid w:val="69407A67"/>
    <w:rsid w:val="69831701"/>
    <w:rsid w:val="69D166F6"/>
    <w:rsid w:val="69D65AEB"/>
    <w:rsid w:val="6A692A3A"/>
    <w:rsid w:val="6B606941"/>
    <w:rsid w:val="6B7A2AC2"/>
    <w:rsid w:val="6E526272"/>
    <w:rsid w:val="6EA008AE"/>
    <w:rsid w:val="6F7511E0"/>
    <w:rsid w:val="6F8961E5"/>
    <w:rsid w:val="71B24592"/>
    <w:rsid w:val="74686F9E"/>
    <w:rsid w:val="7480340D"/>
    <w:rsid w:val="7487479C"/>
    <w:rsid w:val="757C0578"/>
    <w:rsid w:val="75B95D13"/>
    <w:rsid w:val="75E451F1"/>
    <w:rsid w:val="76277FE4"/>
    <w:rsid w:val="77280917"/>
    <w:rsid w:val="77B75FF3"/>
    <w:rsid w:val="78646B19"/>
    <w:rsid w:val="78DF53BE"/>
    <w:rsid w:val="791B3B0A"/>
    <w:rsid w:val="7A320D06"/>
    <w:rsid w:val="7A613399"/>
    <w:rsid w:val="7A6C612B"/>
    <w:rsid w:val="7AED65E8"/>
    <w:rsid w:val="7B446F42"/>
    <w:rsid w:val="7BD52290"/>
    <w:rsid w:val="7C1D531D"/>
    <w:rsid w:val="7C6D4BC4"/>
    <w:rsid w:val="7EEC5BC5"/>
    <w:rsid w:val="7F9D2141"/>
    <w:rsid w:val="7FDDDE97"/>
    <w:rsid w:val="B72F8642"/>
    <w:rsid w:val="BDDB8E6F"/>
    <w:rsid w:val="BFFF2038"/>
    <w:rsid w:val="CFD9CC25"/>
    <w:rsid w:val="DF23CBBD"/>
    <w:rsid w:val="F4753650"/>
    <w:rsid w:val="F5AE43BE"/>
    <w:rsid w:val="FFDAF1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600" w:lineRule="exact"/>
      <w:ind w:firstLine="720" w:firstLineChars="200"/>
      <w:jc w:val="both"/>
    </w:pPr>
    <w:rPr>
      <w:rFonts w:ascii="Times New Roman" w:hAnsi="Times New Roman" w:eastAsia="仿宋_GB2312" w:cstheme="minorBidi"/>
      <w:kern w:val="2"/>
      <w:sz w:val="32"/>
      <w:szCs w:val="24"/>
      <w:lang w:val="en-US" w:eastAsia="zh-CN" w:bidi="ar-SA"/>
    </w:rPr>
  </w:style>
  <w:style w:type="paragraph" w:styleId="2">
    <w:name w:val="heading 1"/>
    <w:basedOn w:val="1"/>
    <w:next w:val="1"/>
    <w:qFormat/>
    <w:uiPriority w:val="0"/>
    <w:pPr>
      <w:keepNext/>
      <w:keepLines/>
      <w:outlineLvl w:val="0"/>
    </w:pPr>
    <w:rPr>
      <w:rFonts w:eastAsia="黑体"/>
      <w:kern w:val="44"/>
    </w:rPr>
  </w:style>
  <w:style w:type="paragraph" w:styleId="3">
    <w:name w:val="heading 2"/>
    <w:basedOn w:val="1"/>
    <w:next w:val="1"/>
    <w:link w:val="22"/>
    <w:unhideWhenUsed/>
    <w:qFormat/>
    <w:uiPriority w:val="0"/>
    <w:pPr>
      <w:keepNext/>
      <w:keepLines/>
      <w:outlineLvl w:val="1"/>
    </w:pPr>
    <w:rPr>
      <w:rFonts w:eastAsia="楷体"/>
    </w:rPr>
  </w:style>
  <w:style w:type="paragraph" w:styleId="4">
    <w:name w:val="heading 3"/>
    <w:basedOn w:val="1"/>
    <w:next w:val="1"/>
    <w:unhideWhenUsed/>
    <w:qFormat/>
    <w:uiPriority w:val="0"/>
    <w:pPr>
      <w:keepNext/>
      <w:keepLines/>
      <w:outlineLvl w:val="2"/>
    </w:pPr>
    <w:rPr>
      <w:b/>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adjustRightInd w:val="0"/>
      <w:spacing w:line="360" w:lineRule="auto"/>
      <w:ind w:firstLine="420"/>
      <w:textAlignment w:val="baseline"/>
    </w:pPr>
    <w:rPr>
      <w:rFonts w:ascii="Calibri" w:hAnsi="Calibri" w:eastAsia="宋体" w:cs="Times New Roman"/>
      <w:kern w:val="0"/>
      <w:sz w:val="24"/>
    </w:rPr>
  </w:style>
  <w:style w:type="paragraph" w:styleId="6">
    <w:name w:val="index 5"/>
    <w:basedOn w:val="1"/>
    <w:next w:val="1"/>
    <w:qFormat/>
    <w:uiPriority w:val="0"/>
    <w:pPr>
      <w:ind w:left="1680"/>
    </w:pPr>
    <w:rPr>
      <w:rFonts w:cs="Times New Roman"/>
      <w:szCs w:val="32"/>
    </w:rPr>
  </w:style>
  <w:style w:type="paragraph" w:styleId="7">
    <w:name w:val="annotation text"/>
    <w:basedOn w:val="1"/>
    <w:qFormat/>
    <w:uiPriority w:val="0"/>
    <w:pPr>
      <w:jc w:val="left"/>
    </w:pPr>
  </w:style>
  <w:style w:type="paragraph" w:styleId="8">
    <w:name w:val="toc 3"/>
    <w:basedOn w:val="1"/>
    <w:next w:val="1"/>
    <w:qFormat/>
    <w:uiPriority w:val="0"/>
    <w:pPr>
      <w:ind w:left="840" w:leftChars="400"/>
    </w:pPr>
  </w:style>
  <w:style w:type="paragraph" w:styleId="9">
    <w:name w:val="Balloon Text"/>
    <w:basedOn w:val="1"/>
    <w:link w:val="24"/>
    <w:qFormat/>
    <w:uiPriority w:val="0"/>
    <w:pPr>
      <w:spacing w:line="240" w:lineRule="auto"/>
    </w:pPr>
    <w:rPr>
      <w:sz w:val="18"/>
      <w:szCs w:val="18"/>
    </w:rPr>
  </w:style>
  <w:style w:type="paragraph" w:styleId="10">
    <w:name w:val="footer"/>
    <w:basedOn w:val="1"/>
    <w:next w:val="6"/>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12">
    <w:name w:val="toc 1"/>
    <w:basedOn w:val="1"/>
    <w:next w:val="1"/>
    <w:qFormat/>
    <w:uiPriority w:val="0"/>
  </w:style>
  <w:style w:type="paragraph" w:styleId="13">
    <w:name w:val="footnote text"/>
    <w:basedOn w:val="1"/>
    <w:qFormat/>
    <w:uiPriority w:val="0"/>
    <w:pPr>
      <w:snapToGrid w:val="0"/>
      <w:jc w:val="left"/>
    </w:pPr>
    <w:rPr>
      <w:sz w:val="18"/>
    </w:rPr>
  </w:style>
  <w:style w:type="paragraph" w:styleId="14">
    <w:name w:val="toc 2"/>
    <w:basedOn w:val="1"/>
    <w:next w:val="1"/>
    <w:unhideWhenUsed/>
    <w:qFormat/>
    <w:uiPriority w:val="39"/>
    <w:pPr>
      <w:widowControl/>
      <w:spacing w:after="100" w:line="259" w:lineRule="auto"/>
      <w:ind w:left="220"/>
      <w:jc w:val="left"/>
    </w:pPr>
    <w:rPr>
      <w:rFonts w:ascii="Century Schoolbook" w:hAnsi="Century Schoolbook" w:eastAsia="Century Schoolbook"/>
      <w:sz w:val="22"/>
      <w:szCs w:val="22"/>
    </w:rPr>
  </w:style>
  <w:style w:type="paragraph" w:styleId="15">
    <w:name w:val="Normal (Web)"/>
    <w:basedOn w:val="1"/>
    <w:qFormat/>
    <w:uiPriority w:val="0"/>
    <w:pPr>
      <w:spacing w:beforeAutospacing="1" w:afterAutospacing="1"/>
      <w:jc w:val="left"/>
    </w:pPr>
    <w:rPr>
      <w:rFonts w:cs="Times New Roman"/>
      <w:kern w:val="0"/>
      <w:sz w:val="24"/>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9">
    <w:name w:val="Strong"/>
    <w:basedOn w:val="18"/>
    <w:qFormat/>
    <w:uiPriority w:val="0"/>
    <w:rPr>
      <w:b/>
    </w:rPr>
  </w:style>
  <w:style w:type="character" w:styleId="20">
    <w:name w:val="footnote reference"/>
    <w:basedOn w:val="18"/>
    <w:qFormat/>
    <w:uiPriority w:val="0"/>
    <w:rPr>
      <w:vertAlign w:val="superscript"/>
    </w:rPr>
  </w:style>
  <w:style w:type="paragraph" w:customStyle="1" w:styleId="21">
    <w:name w:val="Default"/>
    <w:next w:val="1"/>
    <w:qFormat/>
    <w:uiPriority w:val="0"/>
    <w:pPr>
      <w:widowControl w:val="0"/>
      <w:autoSpaceDE w:val="0"/>
      <w:autoSpaceDN w:val="0"/>
      <w:adjustRightInd w:val="0"/>
      <w:jc w:val="both"/>
    </w:pPr>
    <w:rPr>
      <w:rFonts w:hint="eastAsia" w:ascii="仿宋_GB2312" w:hAnsi="Calibri" w:eastAsia="仿宋_GB2312" w:cs="Times New Roman"/>
      <w:color w:val="000000"/>
      <w:kern w:val="2"/>
      <w:sz w:val="24"/>
      <w:szCs w:val="24"/>
      <w:lang w:val="en-US" w:eastAsia="zh-CN" w:bidi="ar-SA"/>
    </w:rPr>
  </w:style>
  <w:style w:type="character" w:customStyle="1" w:styleId="22">
    <w:name w:val="标题 2 Char"/>
    <w:link w:val="3"/>
    <w:qFormat/>
    <w:uiPriority w:val="0"/>
    <w:rPr>
      <w:rFonts w:ascii="Times New Roman" w:hAnsi="Times New Roman" w:eastAsia="楷体"/>
      <w:sz w:val="32"/>
    </w:rPr>
  </w:style>
  <w:style w:type="paragraph" w:customStyle="1" w:styleId="23">
    <w:name w:val="正文缩进1"/>
    <w:qFormat/>
    <w:uiPriority w:val="0"/>
    <w:pPr>
      <w:widowControl w:val="0"/>
      <w:ind w:firstLine="420" w:firstLineChars="200"/>
      <w:jc w:val="both"/>
    </w:pPr>
    <w:rPr>
      <w:rFonts w:ascii="Times New Roman" w:hAnsi="Times New Roman" w:eastAsia="仿宋_GB2312" w:cs="Times New Roman"/>
      <w:kern w:val="2"/>
      <w:sz w:val="32"/>
      <w:szCs w:val="32"/>
      <w:lang w:val="en-US" w:eastAsia="zh-CN" w:bidi="ar-SA"/>
    </w:rPr>
  </w:style>
  <w:style w:type="character" w:customStyle="1" w:styleId="24">
    <w:name w:val="批注框文本 Char"/>
    <w:basedOn w:val="18"/>
    <w:link w:val="9"/>
    <w:qFormat/>
    <w:uiPriority w:val="0"/>
    <w:rPr>
      <w:rFonts w:eastAsia="仿宋_GB2312"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34</Pages>
  <Words>16925</Words>
  <Characters>18728</Characters>
  <Lines>26</Lines>
  <Paragraphs>40</Paragraphs>
  <TotalTime>27</TotalTime>
  <ScaleCrop>false</ScaleCrop>
  <LinksUpToDate>false</LinksUpToDate>
  <CharactersWithSpaces>18861</CharactersWithSpaces>
  <Application>WPS Office_11.8.2.10290_F1E327BC-269C-435d-A152-05C5408002CA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2022-06-11T17:50:00Z</dcterms:created>
  <dc:creator>cathy</dc:creator>
  <cp:lastModifiedBy>郑咏楠</cp:lastModifiedBy>
  <cp:lastPrinted>2022-07-12T22:14:00Z</cp:lastPrinted>
  <dcterms:modified xsi:type="dcterms:W3CDTF">2025-12-10T10:52:52Z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2052-11.8.2.10290</vt:lpwstr>
  </property>
  <property fmtid="{D5CDD505-2E9C-101B-9397-08002B2CF9AE}" pid="3" name="ICV">
    <vt:lpwstr>F062B37D53D24F9894C802E3690F1582_13</vt:lpwstr>
  </property>
  <property fmtid="{D5CDD505-2E9C-101B-9397-08002B2CF9AE}" pid="4" name="showFlag">
    <vt:bool>false</vt:bool>
  </property>
  <property fmtid="{D5CDD505-2E9C-101B-9397-08002B2CF9AE}" pid="5" name="userName">
    <vt:lpwstr>符宇雯</vt:lpwstr>
  </property>
</Properties>
</file>