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default" w:ascii="Times New Roman" w:hAnsi="Times New Roman" w:eastAsia="黑体" w:cs="Times New Roman"/>
          <w:sz w:val="32"/>
          <w:szCs w:val="32"/>
          <w:highlight w:val="none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5</w:t>
      </w:r>
    </w:p>
    <w:p>
      <w:pPr>
        <w:spacing w:line="360" w:lineRule="auto"/>
        <w:ind w:firstLine="480" w:firstLineChars="15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</w:t>
      </w:r>
    </w:p>
    <w:p>
      <w:pPr>
        <w:spacing w:line="360" w:lineRule="auto"/>
        <w:ind w:firstLine="0" w:firstLineChars="0"/>
        <w:jc w:val="center"/>
        <w:rPr>
          <w:rFonts w:hint="default" w:ascii="Times New Roman" w:hAnsi="Times New Roman" w:eastAsia="仿宋_GB2312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项目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绩效自评报告</w:t>
      </w:r>
    </w:p>
    <w:p>
      <w:pPr>
        <w:spacing w:line="360" w:lineRule="auto"/>
        <w:rPr>
          <w:rFonts w:hint="default" w:ascii="Times New Roman" w:hAnsi="Times New Roman" w:eastAsia="仿宋_GB2312" w:cs="Times New Roman"/>
          <w:sz w:val="32"/>
          <w:szCs w:val="30"/>
        </w:rPr>
      </w:pPr>
    </w:p>
    <w:p>
      <w:pPr>
        <w:spacing w:line="360" w:lineRule="auto"/>
        <w:rPr>
          <w:rFonts w:hint="default" w:ascii="Times New Roman" w:hAnsi="Times New Roman" w:eastAsia="仿宋_GB2312" w:cs="Times New Roman"/>
          <w:sz w:val="32"/>
          <w:szCs w:val="30"/>
        </w:rPr>
      </w:pPr>
    </w:p>
    <w:p>
      <w:pPr>
        <w:spacing w:line="360" w:lineRule="auto"/>
        <w:ind w:firstLine="480" w:firstLineChars="150"/>
        <w:rPr>
          <w:rFonts w:hint="default" w:ascii="Times New Roman" w:hAnsi="Times New Roman" w:eastAsia="仿宋_GB2312" w:cs="Times New Roman"/>
          <w:sz w:val="32"/>
          <w:szCs w:val="30"/>
        </w:rPr>
      </w:pPr>
    </w:p>
    <w:p>
      <w:pPr>
        <w:spacing w:line="360" w:lineRule="auto"/>
        <w:ind w:firstLine="480" w:firstLineChars="150"/>
        <w:rPr>
          <w:rFonts w:hint="default" w:ascii="Times New Roman" w:hAnsi="Times New Roman" w:eastAsia="仿宋_GB2312" w:cs="Times New Roman"/>
          <w:sz w:val="32"/>
          <w:szCs w:val="30"/>
        </w:rPr>
      </w:pPr>
    </w:p>
    <w:p>
      <w:pPr>
        <w:spacing w:line="360" w:lineRule="auto"/>
        <w:ind w:firstLine="480" w:firstLineChars="150"/>
        <w:rPr>
          <w:rFonts w:hint="default" w:ascii="Times New Roman" w:hAnsi="Times New Roman" w:eastAsia="仿宋_GB2312" w:cs="Times New Roman"/>
          <w:sz w:val="32"/>
          <w:szCs w:val="30"/>
        </w:rPr>
      </w:pPr>
    </w:p>
    <w:p>
      <w:pPr>
        <w:spacing w:line="360" w:lineRule="auto"/>
        <w:ind w:firstLine="480" w:firstLineChars="150"/>
        <w:rPr>
          <w:rFonts w:hint="default" w:ascii="Times New Roman" w:hAnsi="Times New Roman" w:eastAsia="仿宋_GB2312" w:cs="Times New Roman"/>
          <w:sz w:val="32"/>
          <w:szCs w:val="30"/>
        </w:rPr>
      </w:pPr>
    </w:p>
    <w:p>
      <w:pPr>
        <w:spacing w:line="360" w:lineRule="auto"/>
        <w:ind w:firstLine="480" w:firstLineChars="150"/>
        <w:rPr>
          <w:rFonts w:hint="default" w:ascii="Times New Roman" w:hAnsi="Times New Roman" w:eastAsia="仿宋_GB2312" w:cs="Times New Roman"/>
          <w:sz w:val="32"/>
          <w:szCs w:val="30"/>
        </w:rPr>
      </w:pPr>
    </w:p>
    <w:p>
      <w:pPr>
        <w:spacing w:line="360" w:lineRule="auto"/>
        <w:ind w:firstLine="480" w:firstLineChars="150"/>
        <w:rPr>
          <w:rFonts w:hint="default" w:ascii="Times New Roman" w:hAnsi="Times New Roman" w:eastAsia="仿宋_GB2312" w:cs="Times New Roman"/>
          <w:sz w:val="32"/>
          <w:szCs w:val="30"/>
        </w:rPr>
      </w:pPr>
    </w:p>
    <w:p>
      <w:pPr>
        <w:spacing w:line="360" w:lineRule="auto"/>
        <w:ind w:firstLine="480" w:firstLineChars="150"/>
        <w:jc w:val="both"/>
        <w:rPr>
          <w:rFonts w:hint="default" w:ascii="Times New Roman" w:hAnsi="Times New Roman" w:eastAsia="仿宋_GB2312" w:cs="Times New Roman"/>
          <w:sz w:val="32"/>
          <w:szCs w:val="30"/>
        </w:rPr>
      </w:pPr>
    </w:p>
    <w:p>
      <w:pPr>
        <w:snapToGrid w:val="0"/>
        <w:spacing w:beforeLines="0" w:afterLines="0" w:line="360" w:lineRule="auto"/>
        <w:ind w:leftChars="600"/>
        <w:jc w:val="both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财政事权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名称：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职业技能培训</w:t>
      </w:r>
    </w:p>
    <w:p>
      <w:pPr>
        <w:snapToGrid w:val="0"/>
        <w:spacing w:beforeLines="0" w:afterLines="0" w:line="360" w:lineRule="auto"/>
        <w:ind w:leftChars="600"/>
        <w:jc w:val="both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对应政策任务个数：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及具体名称：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圆梦计划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”</w:t>
      </w:r>
    </w:p>
    <w:p>
      <w:pPr>
        <w:snapToGrid w:val="0"/>
        <w:spacing w:beforeLines="0" w:afterLines="0" w:line="360" w:lineRule="auto"/>
        <w:ind w:leftChars="600"/>
        <w:jc w:val="both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预算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单位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省人力资源社会保障厅（公章）</w:t>
      </w:r>
    </w:p>
    <w:p>
      <w:pPr>
        <w:snapToGrid w:val="0"/>
        <w:spacing w:beforeLines="0" w:afterLines="0" w:line="360" w:lineRule="auto"/>
        <w:ind w:leftChars="600"/>
        <w:jc w:val="both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填报人姓名：</w:t>
      </w:r>
      <w:r>
        <w:rPr>
          <w:rFonts w:hint="eastAsia" w:eastAsia="仿宋_GB2312" w:cs="Times New Roman"/>
          <w:sz w:val="32"/>
          <w:szCs w:val="32"/>
          <w:lang w:eastAsia="zh-CN"/>
        </w:rPr>
        <w:t>郭美杰</w:t>
      </w:r>
    </w:p>
    <w:p>
      <w:pPr>
        <w:snapToGrid w:val="0"/>
        <w:spacing w:beforeLines="0" w:afterLines="0" w:line="360" w:lineRule="auto"/>
        <w:ind w:leftChars="600"/>
        <w:jc w:val="both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联系电话：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020-83191162</w:t>
      </w:r>
    </w:p>
    <w:p>
      <w:pPr>
        <w:snapToGrid w:val="0"/>
        <w:spacing w:beforeLines="0" w:afterLines="0" w:line="360" w:lineRule="auto"/>
        <w:ind w:leftChars="600"/>
        <w:jc w:val="both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填报日期：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2023年7月13日</w:t>
      </w:r>
    </w:p>
    <w:p>
      <w:pPr>
        <w:numPr>
          <w:ilvl w:val="0"/>
          <w:numId w:val="1"/>
        </w:numPr>
        <w:snapToGrid w:val="0"/>
        <w:spacing w:beforeLines="0" w:afterLines="0" w:line="360" w:lineRule="auto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  <w:sectPr>
          <w:pgSz w:w="11906" w:h="16838"/>
          <w:pgMar w:top="1928" w:right="1417" w:bottom="1417" w:left="1531" w:header="851" w:footer="992" w:gutter="0"/>
          <w:pgNumType w:fmt="decimal"/>
          <w:cols w:space="720" w:num="1"/>
          <w:docGrid w:type="lines" w:linePitch="312" w:charSpace="0"/>
        </w:sectPr>
      </w:pPr>
    </w:p>
    <w:p>
      <w:pPr>
        <w:numPr>
          <w:ilvl w:val="0"/>
          <w:numId w:val="1"/>
        </w:numPr>
        <w:snapToGrid w:val="0"/>
        <w:spacing w:beforeLines="0" w:afterLines="0" w:line="360" w:lineRule="auto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基本情况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360" w:lineRule="auto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（一）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项目基本情况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360" w:lineRule="auto"/>
        <w:ind w:left="0" w:leftChars="0" w:firstLine="640" w:firstLineChars="200"/>
        <w:jc w:val="both"/>
        <w:textAlignment w:val="auto"/>
        <w:outlineLvl w:val="0"/>
        <w:rPr>
          <w:rFonts w:eastAsia="方正仿宋_GBK"/>
          <w:color w:val="auto"/>
          <w:sz w:val="32"/>
          <w:szCs w:val="32"/>
        </w:rPr>
      </w:pPr>
      <w:r>
        <w:rPr>
          <w:rFonts w:eastAsia="仿宋_GB2312"/>
          <w:color w:val="auto"/>
          <w:sz w:val="32"/>
          <w:szCs w:val="32"/>
        </w:rPr>
        <w:t>为</w:t>
      </w:r>
      <w:r>
        <w:rPr>
          <w:rFonts w:hint="default" w:eastAsia="仿宋_GB2312"/>
          <w:color w:val="auto"/>
          <w:sz w:val="32"/>
          <w:szCs w:val="32"/>
        </w:rPr>
        <w:t>深入</w:t>
      </w:r>
      <w:r>
        <w:rPr>
          <w:rFonts w:eastAsia="仿宋_GB2312"/>
          <w:color w:val="auto"/>
          <w:sz w:val="32"/>
          <w:szCs w:val="32"/>
        </w:rPr>
        <w:t>学习贯彻习近平新时代中国特色社会主义思想，深入贯彻落实省政府“粤菜师傅”“广东技工”“南粤家政”三项工程部署要求，2022年省级财政继续补助我省约1万名新生代产业工人报读“圆梦计划</w:t>
      </w:r>
      <w:r>
        <w:rPr>
          <w:rFonts w:hint="default" w:eastAsia="仿宋_GB2312"/>
          <w:color w:val="auto"/>
          <w:sz w:val="32"/>
          <w:szCs w:val="32"/>
          <w:lang w:eastAsia="zh-CN"/>
        </w:rPr>
        <w:t>—</w:t>
      </w:r>
      <w:r>
        <w:rPr>
          <w:rFonts w:eastAsia="仿宋_GB2312"/>
          <w:color w:val="auto"/>
          <w:sz w:val="32"/>
          <w:szCs w:val="32"/>
        </w:rPr>
        <w:t>广东省新生代产业工人骨干培养发展工程”，参加技能型专业为主的高等学历继续教育，帮助更多新生代产业工人提高学历层次、提高技能水平、增强综合竞争力，为广东经济实现高质量发展提供青年技能人才，并不断巩固和扩大党在新生代产业工人群体中的可依靠力量，夯实党执政的青年群众基础。</w:t>
      </w:r>
    </w:p>
    <w:p>
      <w:pPr>
        <w:snapToGrid w:val="0"/>
        <w:spacing w:beforeLines="0" w:afterLines="0" w:line="360" w:lineRule="auto"/>
        <w:ind w:firstLine="642" w:firstLineChars="200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二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资金来源依据及资金额度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360" w:lineRule="auto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根据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广东省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财政厅、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广东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省人力资源和社会保障厅《关于印发省级促进就业创业发展专项资金管理办法的通知》（粤财社〔2019〕211号）精神，“圆梦计划”项目纳入省级促进就业创业发展专项资金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-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职业技能培训资金补助范围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，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每年补助约1</w:t>
      </w:r>
      <w:r>
        <w:rPr>
          <w:rFonts w:hint="eastAsia" w:eastAsia="仿宋_GB2312" w:cs="Times New Roman"/>
          <w:kern w:val="2"/>
          <w:sz w:val="32"/>
          <w:szCs w:val="32"/>
          <w:lang w:val="en-US" w:eastAsia="zh-CN" w:bidi="ar-SA"/>
        </w:rPr>
        <w:t>万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名新生代产业工人参加“圆梦计划”。为保障“圆梦计划”项目顺利实施，按照省领导批示要求，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省财</w:t>
      </w:r>
      <w:r>
        <w:rPr>
          <w:rFonts w:hint="eastAsia" w:eastAsia="仿宋_GB2312" w:cs="Times New Roman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政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厅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明确2021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2023年每年以2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,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000万额度支持“圆梦计划”实施，给予每位圆梦学员2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,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000元的学费补助。</w:t>
      </w:r>
    </w:p>
    <w:p>
      <w:pPr>
        <w:snapToGrid w:val="0"/>
        <w:spacing w:beforeLines="0" w:afterLines="0" w:line="360" w:lineRule="auto"/>
        <w:ind w:firstLine="642" w:firstLineChars="200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资金分配方式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360" w:lineRule="auto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圆梦计划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按照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政府支持一点、学校优惠一点、青年承担一点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的思路，由省财政补助2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,</w:t>
      </w:r>
      <w:r>
        <w:rPr>
          <w:rFonts w:hint="default" w:ascii="Times New Roman" w:hAnsi="Times New Roman" w:eastAsia="仿宋_GB2312" w:cs="Times New Roman"/>
          <w:sz w:val="32"/>
          <w:szCs w:val="32"/>
        </w:rPr>
        <w:t>000元/人，市财政和社会募集资金统筹解决2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,</w:t>
      </w:r>
      <w:r>
        <w:rPr>
          <w:rFonts w:hint="default" w:ascii="Times New Roman" w:hAnsi="Times New Roman" w:eastAsia="仿宋_GB2312" w:cs="Times New Roman"/>
          <w:sz w:val="32"/>
          <w:szCs w:val="32"/>
        </w:rPr>
        <w:t>000元/人，被录取学员自缴1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,</w:t>
      </w:r>
      <w:r>
        <w:rPr>
          <w:rFonts w:hint="default" w:ascii="Times New Roman" w:hAnsi="Times New Roman" w:eastAsia="仿宋_GB2312" w:cs="Times New Roman"/>
          <w:sz w:val="32"/>
          <w:szCs w:val="32"/>
        </w:rPr>
        <w:t>000元。各地市经调研充分了解当地新生代产业工人学历提升需求，结合本地市财政支持力度以及社会资金筹措能力，在确保落实2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,</w:t>
      </w:r>
      <w:r>
        <w:rPr>
          <w:rFonts w:hint="default" w:ascii="Times New Roman" w:hAnsi="Times New Roman" w:eastAsia="仿宋_GB2312" w:cs="Times New Roman"/>
          <w:sz w:val="32"/>
          <w:szCs w:val="32"/>
        </w:rPr>
        <w:t>000元/人学员培养费用基础上，向省圆梦办提交年度招生名额和资金申请，由省圆梦办统筹确认最终名额分配和资金分配。</w:t>
      </w:r>
    </w:p>
    <w:p>
      <w:pPr>
        <w:snapToGrid w:val="0"/>
        <w:spacing w:beforeLines="0" w:afterLines="0" w:line="360" w:lineRule="auto"/>
        <w:ind w:firstLine="642" w:firstLineChars="200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资金的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主要用途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及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扶持对象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360" w:lineRule="auto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圆梦计划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省级财政资金2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,</w:t>
      </w:r>
      <w:r>
        <w:rPr>
          <w:rFonts w:hint="default" w:ascii="Times New Roman" w:hAnsi="Times New Roman" w:eastAsia="仿宋_GB2312" w:cs="Times New Roman"/>
          <w:sz w:val="32"/>
          <w:szCs w:val="32"/>
        </w:rPr>
        <w:t>000万主要用途为资助202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年就读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圆梦计划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的在粤新生代产业工人。参加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圆梦计划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项目的学员培养费用为5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,</w:t>
      </w:r>
      <w:r>
        <w:rPr>
          <w:rFonts w:hint="default" w:ascii="Times New Roman" w:hAnsi="Times New Roman" w:eastAsia="仿宋_GB2312" w:cs="Times New Roman"/>
          <w:sz w:val="32"/>
          <w:szCs w:val="32"/>
        </w:rPr>
        <w:t>000元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/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人，其中，省财政补助2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,</w:t>
      </w:r>
      <w:r>
        <w:rPr>
          <w:rFonts w:hint="default" w:ascii="Times New Roman" w:hAnsi="Times New Roman" w:eastAsia="仿宋_GB2312" w:cs="Times New Roman"/>
          <w:sz w:val="32"/>
          <w:szCs w:val="32"/>
        </w:rPr>
        <w:t>000元/人，市财政和社会募集资金统筹解决2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,</w:t>
      </w:r>
      <w:r>
        <w:rPr>
          <w:rFonts w:hint="default" w:ascii="Times New Roman" w:hAnsi="Times New Roman" w:eastAsia="仿宋_GB2312" w:cs="Times New Roman"/>
          <w:sz w:val="32"/>
          <w:szCs w:val="32"/>
        </w:rPr>
        <w:t>000元/人，被录取学员自缴1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,</w:t>
      </w:r>
      <w:r>
        <w:rPr>
          <w:rFonts w:hint="default" w:ascii="Times New Roman" w:hAnsi="Times New Roman" w:eastAsia="仿宋_GB2312" w:cs="Times New Roman"/>
          <w:sz w:val="32"/>
          <w:szCs w:val="32"/>
        </w:rPr>
        <w:t>000元</w:t>
      </w:r>
      <w:r>
        <w:rPr>
          <w:rFonts w:hint="default" w:ascii="Times New Roman" w:hAnsi="Times New Roman" w:eastAsia="宋体" w:cs="Times New Roman"/>
          <w:sz w:val="32"/>
          <w:szCs w:val="24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360" w:lineRule="auto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五</w:t>
      </w: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绩效目标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Lines="-2147483648" w:after="100" w:afterLines="-2147483648" w:afterAutospacing="1" w:line="360" w:lineRule="auto"/>
        <w:ind w:firstLine="640" w:firstLineChars="200"/>
        <w:textAlignment w:val="auto"/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完成新生代产业工人入读大学工作计划，提升新生代产业工人学历水平，紧密联系一批优秀新生代产业工人，使其成为党在新生代产业工人群体中的可依靠力量。</w:t>
      </w:r>
    </w:p>
    <w:p>
      <w:pPr>
        <w:snapToGrid w:val="0"/>
        <w:spacing w:beforeLines="0" w:afterLines="0" w:line="360" w:lineRule="auto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二、自评情况</w:t>
      </w:r>
    </w:p>
    <w:p>
      <w:pPr>
        <w:pStyle w:val="9"/>
        <w:numPr>
          <w:ilvl w:val="0"/>
          <w:numId w:val="0"/>
        </w:numPr>
        <w:snapToGrid w:val="0"/>
        <w:spacing w:beforeLines="0" w:afterLines="0" w:line="360" w:lineRule="auto"/>
        <w:ind w:leftChars="100" w:firstLine="640" w:firstLineChars="200"/>
        <w:rPr>
          <w:rFonts w:hint="default" w:ascii="Times New Roman" w:hAnsi="Times New Roman" w:eastAsia="楷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我厅根据《广东省财政厅关于开展 202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年省级财政资金绩效自评工作的通知》（粤财绩函〔2022〕4号）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的要求，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结合我厅的实际情况，于2023年4月下达预通知组织开展2022年度省级就业创业专项资金绩效自评工作。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 xml:space="preserve"> 年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日向各地级以上市人社局和有关厅属单位印发了《关于做好202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年省级财政资金绩效自评的通知》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组织各资金使用单位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做好资金绩效评价工作。我厅对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“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圆梦计划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”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项目实施情况进行汇总审核后，整理“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圆梦计划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”项目整体的自评材料，并撰写《项目绩效自评报告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》。</w:t>
      </w:r>
    </w:p>
    <w:p>
      <w:pPr>
        <w:snapToGrid w:val="0"/>
        <w:spacing w:beforeLines="0" w:afterLines="0" w:line="360" w:lineRule="auto"/>
        <w:ind w:firstLine="642" w:firstLineChars="200"/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</w:pP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（一）自评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结论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360" w:lineRule="auto"/>
        <w:ind w:firstLine="640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根据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2022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圆梦计划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项目资金使用情况、绩效目标情况、绩效自评指标评分表及有关材料，经过综合分析，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项目自评分数为97.99分</w:t>
      </w:r>
      <w:r>
        <w:rPr>
          <w:rFonts w:hint="eastAsia" w:eastAsia="仿宋_GB2312" w:cs="Times New Roman"/>
          <w:sz w:val="32"/>
          <w:szCs w:val="32"/>
          <w:highlight w:val="none"/>
          <w:lang w:val="en-US" w:eastAsia="zh-CN"/>
        </w:rPr>
        <w:t>，自评等级为“优”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。</w:t>
      </w:r>
    </w:p>
    <w:p>
      <w:pPr>
        <w:snapToGrid w:val="0"/>
        <w:spacing w:beforeLines="0" w:afterLines="0" w:line="360" w:lineRule="auto"/>
        <w:ind w:firstLine="642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（二）专项资金使用绩效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360" w:lineRule="auto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kern w:val="0"/>
          <w:sz w:val="32"/>
          <w:szCs w:val="32"/>
          <w:lang w:val="en-US" w:eastAsia="zh-CN"/>
        </w:rPr>
        <w:t>1.</w:t>
      </w:r>
      <w:r>
        <w:rPr>
          <w:rFonts w:hint="eastAsia" w:eastAsia="仿宋_GB2312" w:cs="Times New Roman"/>
          <w:b/>
          <w:bCs/>
          <w:kern w:val="0"/>
          <w:sz w:val="32"/>
          <w:szCs w:val="32"/>
          <w:lang w:val="en-US" w:eastAsia="zh-CN"/>
        </w:rPr>
        <w:t>专项</w:t>
      </w:r>
      <w:r>
        <w:rPr>
          <w:rFonts w:hint="default" w:ascii="Times New Roman" w:hAnsi="Times New Roman" w:eastAsia="仿宋_GB2312" w:cs="Times New Roman"/>
          <w:b/>
          <w:bCs/>
          <w:kern w:val="0"/>
          <w:sz w:val="32"/>
          <w:szCs w:val="32"/>
          <w:lang w:val="en-US" w:eastAsia="zh-CN"/>
        </w:rPr>
        <w:t>资金</w:t>
      </w:r>
      <w:r>
        <w:rPr>
          <w:rFonts w:hint="eastAsia" w:eastAsia="仿宋_GB2312" w:cs="Times New Roman"/>
          <w:b/>
          <w:bCs/>
          <w:kern w:val="0"/>
          <w:sz w:val="32"/>
          <w:szCs w:val="32"/>
          <w:lang w:val="en-US" w:eastAsia="zh-CN"/>
        </w:rPr>
        <w:t>支出</w:t>
      </w:r>
      <w:r>
        <w:rPr>
          <w:rFonts w:hint="default" w:ascii="Times New Roman" w:hAnsi="Times New Roman" w:eastAsia="仿宋_GB2312" w:cs="Times New Roman"/>
          <w:b/>
          <w:bCs/>
          <w:kern w:val="0"/>
          <w:sz w:val="32"/>
          <w:szCs w:val="32"/>
          <w:lang w:val="en-US" w:eastAsia="zh-CN"/>
        </w:rPr>
        <w:t>情况。</w:t>
      </w:r>
      <w:r>
        <w:rPr>
          <w:rFonts w:hint="eastAsia" w:ascii="Times New Roman" w:hAnsi="Times New Roman" w:eastAsia="仿宋_GB2312" w:cs="Times New Roman"/>
          <w:b/>
          <w:bCs/>
          <w:kern w:val="0"/>
          <w:sz w:val="32"/>
          <w:szCs w:val="32"/>
          <w:lang w:val="en-US" w:eastAsia="zh-CN"/>
        </w:rPr>
        <w:t>满分</w:t>
      </w:r>
      <w:r>
        <w:rPr>
          <w:rFonts w:hint="eastAsia" w:eastAsia="仿宋_GB2312" w:cs="Times New Roman"/>
          <w:b/>
          <w:bCs/>
          <w:kern w:val="0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shd w:val="clear" w:color="auto" w:fill="auto"/>
          <w:lang w:val="en-US" w:eastAsia="zh-CN"/>
        </w:rPr>
        <w:t>分，评价得1</w:t>
      </w:r>
      <w:r>
        <w:rPr>
          <w:rFonts w:hint="eastAsia" w:eastAsia="仿宋_GB2312" w:cs="Times New Roman"/>
          <w:b/>
          <w:bCs/>
          <w:sz w:val="32"/>
          <w:szCs w:val="32"/>
          <w:shd w:val="clear" w:color="auto" w:fill="auto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shd w:val="clear" w:color="auto" w:fill="auto"/>
          <w:lang w:val="en-US" w:eastAsia="zh-CN"/>
        </w:rPr>
        <w:t>.</w:t>
      </w: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shd w:val="clear" w:color="auto" w:fill="auto"/>
          <w:lang w:val="en-US" w:eastAsia="zh-CN"/>
        </w:rPr>
        <w:t>99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shd w:val="clear" w:color="auto" w:fill="auto"/>
          <w:lang w:val="en-US" w:eastAsia="zh-CN"/>
        </w:rPr>
        <w:t>分，得分率</w:t>
      </w:r>
      <w:r>
        <w:rPr>
          <w:rFonts w:hint="eastAsia" w:eastAsia="仿宋_GB2312" w:cs="Times New Roman"/>
          <w:b/>
          <w:bCs/>
          <w:sz w:val="32"/>
          <w:szCs w:val="32"/>
          <w:shd w:val="clear" w:color="auto" w:fill="auto"/>
          <w:lang w:val="en-US" w:eastAsia="zh-CN"/>
        </w:rPr>
        <w:t>89.95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shd w:val="clear" w:color="auto" w:fill="auto"/>
          <w:lang w:val="en-US" w:eastAsia="zh-CN"/>
        </w:rPr>
        <w:t>%。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360" w:lineRule="auto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shd w:val="clear" w:color="auto" w:fill="auto"/>
          <w:lang w:val="en-US" w:eastAsia="zh-CN"/>
        </w:rPr>
        <w:t>资金支出率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shd w:val="clear" w:color="auto" w:fill="auto"/>
          <w:lang w:val="en-US" w:eastAsia="zh-CN"/>
        </w:rPr>
        <w:t>指标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shd w:val="clear" w:color="auto" w:fill="auto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2022年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圆梦计划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省级财政预算资金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,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000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万元，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实际支出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1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,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99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8.2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万元，支出率99.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91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%。由于9名学员因个人原因未注册入读，结余资金1.8万元，结余率为0.09%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，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本指标得分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11.99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分。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/>
        <w:snapToGrid w:val="0"/>
        <w:spacing w:line="360" w:lineRule="auto"/>
        <w:ind w:lef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监管有效性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指标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Times New Roman" w:hAnsi="Times New Roman" w:eastAsia="仿宋_GB2312" w:cs="仿宋_GB2312"/>
          <w:kern w:val="2"/>
          <w:sz w:val="32"/>
          <w:szCs w:val="32"/>
          <w:lang w:val="en-US" w:eastAsia="zh-CN" w:bidi="ar-SA"/>
        </w:rPr>
        <w:t>2022年“圆梦计划”省级财政资金严格</w:t>
      </w:r>
      <w:r>
        <w:rPr>
          <w:rFonts w:hint="eastAsia" w:ascii="Times New Roman" w:hAnsi="Times New Roman" w:eastAsia="仿宋_GB2312" w:cs="仿宋_GB2312"/>
          <w:sz w:val="32"/>
          <w:szCs w:val="32"/>
        </w:rPr>
        <w:t>按照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资金下达文件的指定用途及相关要求，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及时对项目资金进行安排和支付，用款单位根据省财政下达预算计划，有严格的财务管理制度和支出程序，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项目实施程序</w:t>
      </w:r>
      <w:r>
        <w:rPr>
          <w:rFonts w:hint="eastAsia" w:eastAsia="仿宋_GB2312" w:cs="Times New Roman"/>
          <w:sz w:val="32"/>
          <w:szCs w:val="32"/>
          <w:highlight w:val="none"/>
          <w:lang w:val="en-US" w:eastAsia="zh-CN"/>
        </w:rPr>
        <w:t>完善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执行的项目内容与申报项目一致，进一步完善资金使用指引文件建设，定期了解各地资金使用情况，预算资金使用管理规范。但未及时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出具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专项资金监督检查的通知及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相关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检查报告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本指标得分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分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。</w:t>
      </w:r>
    </w:p>
    <w:p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2" w:firstLineChars="200"/>
        <w:textAlignment w:val="auto"/>
        <w:outlineLvl w:val="1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cs="Times New Roman"/>
          <w:b/>
          <w:bCs/>
          <w:kern w:val="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cs="Times New Roman"/>
          <w:b/>
          <w:bCs/>
          <w:kern w:val="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_GB2312" w:cs="Times New Roman"/>
          <w:b/>
          <w:bCs/>
          <w:kern w:val="0"/>
          <w:sz w:val="32"/>
          <w:szCs w:val="32"/>
          <w:lang w:val="en-US" w:eastAsia="zh-CN"/>
        </w:rPr>
        <w:t>专项资金</w:t>
      </w:r>
      <w:r>
        <w:rPr>
          <w:rFonts w:hint="eastAsia" w:eastAsia="仿宋_GB2312" w:cs="Times New Roman"/>
          <w:b/>
          <w:bCs/>
          <w:kern w:val="0"/>
          <w:sz w:val="32"/>
          <w:szCs w:val="32"/>
          <w:lang w:val="en-US" w:eastAsia="zh-CN"/>
        </w:rPr>
        <w:t>完成</w:t>
      </w:r>
      <w:r>
        <w:rPr>
          <w:rFonts w:hint="default" w:ascii="Times New Roman" w:hAnsi="Times New Roman" w:eastAsia="仿宋_GB2312" w:cs="Times New Roman"/>
          <w:b/>
          <w:bCs/>
          <w:kern w:val="0"/>
          <w:sz w:val="32"/>
          <w:szCs w:val="32"/>
          <w:lang w:val="en-US" w:eastAsia="zh-CN"/>
        </w:rPr>
        <w:t>绩效</w:t>
      </w:r>
      <w:r>
        <w:rPr>
          <w:rFonts w:hint="eastAsia" w:eastAsia="仿宋_GB2312" w:cs="Times New Roman"/>
          <w:b/>
          <w:bCs/>
          <w:kern w:val="0"/>
          <w:sz w:val="32"/>
          <w:szCs w:val="32"/>
          <w:lang w:val="en-US" w:eastAsia="zh-CN"/>
        </w:rPr>
        <w:t>目标</w:t>
      </w:r>
      <w:r>
        <w:rPr>
          <w:rFonts w:hint="default" w:ascii="Times New Roman" w:hAnsi="Times New Roman" w:eastAsia="仿宋_GB2312" w:cs="Times New Roman"/>
          <w:b/>
          <w:bCs/>
          <w:kern w:val="0"/>
          <w:sz w:val="32"/>
          <w:szCs w:val="32"/>
          <w:lang w:val="en-US" w:eastAsia="zh-CN"/>
        </w:rPr>
        <w:t>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2" w:firstLineChars="200"/>
        <w:textAlignment w:val="auto"/>
        <w:rPr>
          <w:rFonts w:hint="eastAsia" w:ascii="Times New Roman" w:hAnsi="Times New Roman" w:eastAsia="仿宋_GB2312" w:cs="仿宋_GB2312"/>
          <w:b/>
          <w:bCs/>
          <w:sz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lang w:val="en-US" w:eastAsia="zh-CN"/>
        </w:rPr>
        <w:t>（1）</w:t>
      </w:r>
      <w:r>
        <w:rPr>
          <w:rFonts w:hint="eastAsia" w:ascii="Times New Roman" w:hAnsi="Times New Roman" w:eastAsia="仿宋_GB2312" w:cs="仿宋_GB2312"/>
          <w:b/>
          <w:bCs/>
          <w:sz w:val="32"/>
          <w:highlight w:val="none"/>
          <w:lang w:val="en-US" w:eastAsia="zh-CN"/>
        </w:rPr>
        <w:t>项目产出情况。满分40分，评价得40分，得分率100%。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360" w:lineRule="auto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报名人数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指标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项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目发动报名主要采取厅局联动、省市共推、院校发力的方式，各地市团委及合作院校根据当地实际情况，通过多种宣传渠道及方式，线上线下，多管齐下，全方位立体化开展招生宣传工作。</w:t>
      </w:r>
      <w:r>
        <w:rPr>
          <w:rFonts w:hint="eastAsia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计划完成报名人数≥30000人，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根据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“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圆梦计划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”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官网系统报名数据，2021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学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年报名人数为36</w:t>
      </w:r>
      <w:r>
        <w:rPr>
          <w:rFonts w:hint="eastAsia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875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完成全年任务的123%，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本指标得分8分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Times New Roman" w:hAnsi="Times New Roman" w:eastAsia="仿宋_GB2312" w:cs="仿宋_GB2312"/>
          <w:sz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highlight w:val="none"/>
          <w:lang w:val="en-US" w:eastAsia="zh-CN"/>
        </w:rPr>
        <w:t>录取学员人数指标。经团省委认真部署，发动21个地市及合作院校大力宣传推广，严格按照教育部门关于</w:t>
      </w:r>
      <w:r>
        <w:rPr>
          <w:rFonts w:hint="eastAsia" w:eastAsia="仿宋_GB2312" w:cs="仿宋_GB2312"/>
          <w:sz w:val="32"/>
          <w:highlight w:val="none"/>
          <w:lang w:val="en-US" w:eastAsia="zh-CN"/>
        </w:rPr>
        <w:t>继续</w:t>
      </w:r>
      <w:r>
        <w:rPr>
          <w:rFonts w:hint="eastAsia" w:ascii="Times New Roman" w:hAnsi="Times New Roman" w:eastAsia="仿宋_GB2312" w:cs="仿宋_GB2312"/>
          <w:sz w:val="32"/>
          <w:highlight w:val="none"/>
          <w:lang w:val="en-US" w:eastAsia="zh-CN"/>
        </w:rPr>
        <w:t>教育的相关要求开展招生录取工作。</w:t>
      </w:r>
      <w:r>
        <w:rPr>
          <w:rFonts w:hint="eastAsia" w:eastAsia="仿宋_GB2312" w:cs="仿宋_GB2312"/>
          <w:sz w:val="32"/>
          <w:highlight w:val="none"/>
          <w:lang w:val="en-US" w:eastAsia="zh-CN"/>
        </w:rPr>
        <w:t>计划录取学员≥9800人，</w:t>
      </w:r>
      <w:r>
        <w:rPr>
          <w:rFonts w:hint="eastAsia" w:ascii="Times New Roman" w:hAnsi="Times New Roman" w:eastAsia="仿宋_GB2312" w:cs="仿宋_GB2312"/>
          <w:sz w:val="32"/>
          <w:highlight w:val="none"/>
          <w:lang w:val="en-US" w:eastAsia="zh-CN"/>
        </w:rPr>
        <w:t>根据2021年广东省“圆梦计划”学费划拨情况统计表（含录取人数），2021学年实际录取学员人数为9991人，</w:t>
      </w:r>
      <w:r>
        <w:rPr>
          <w:rFonts w:hint="eastAsia" w:eastAsia="仿宋_GB2312" w:cs="仿宋_GB2312"/>
          <w:sz w:val="32"/>
          <w:highlight w:val="none"/>
          <w:lang w:val="en-US" w:eastAsia="zh-CN"/>
        </w:rPr>
        <w:t>完成全年任务的102%，</w:t>
      </w:r>
      <w:r>
        <w:rPr>
          <w:rFonts w:hint="eastAsia" w:ascii="Times New Roman" w:hAnsi="Times New Roman" w:eastAsia="仿宋_GB2312" w:cs="仿宋_GB2312"/>
          <w:sz w:val="32"/>
          <w:highlight w:val="none"/>
          <w:lang w:val="en-US" w:eastAsia="zh-CN"/>
        </w:rPr>
        <w:t>本指标得分8分。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eastAsia="仿宋_GB2312"/>
          <w:sz w:val="32"/>
          <w:lang w:val="en-US" w:eastAsia="zh-CN"/>
        </w:rPr>
      </w:pPr>
      <w:r>
        <w:rPr>
          <w:rFonts w:hint="eastAsia" w:eastAsia="仿宋_GB2312"/>
          <w:sz w:val="32"/>
          <w:highlight w:val="none"/>
          <w:lang w:val="en-US" w:eastAsia="zh-CN"/>
        </w:rPr>
        <w:t>圆梦学员后续培养指标。</w:t>
      </w:r>
      <w:r>
        <w:rPr>
          <w:rFonts w:hint="eastAsia" w:eastAsia="仿宋_GB2312"/>
          <w:sz w:val="32"/>
          <w:lang w:val="en-US" w:eastAsia="zh-CN"/>
        </w:rPr>
        <w:t>2021-2022年，省市联动开展“圆梦计划”学员交流营活动，计划圆梦学员后续培养≥2000人，根据“圆梦计划”学员交流营材料，完成全省共2221名圆梦骨干学员培训，强化圆梦学员跟踪培养，</w:t>
      </w:r>
      <w:r>
        <w:rPr>
          <w:rFonts w:hint="eastAsia" w:eastAsia="仿宋_GB2312"/>
          <w:sz w:val="32"/>
        </w:rPr>
        <w:t>提升</w:t>
      </w:r>
      <w:r>
        <w:rPr>
          <w:rFonts w:hint="eastAsia" w:eastAsia="仿宋_GB2312"/>
          <w:sz w:val="32"/>
          <w:lang w:eastAsia="zh-CN"/>
        </w:rPr>
        <w:t>优秀圆梦学员</w:t>
      </w:r>
      <w:r>
        <w:rPr>
          <w:rFonts w:hint="eastAsia" w:eastAsia="仿宋_GB2312"/>
          <w:sz w:val="32"/>
        </w:rPr>
        <w:t>的政治素养</w:t>
      </w:r>
      <w:r>
        <w:rPr>
          <w:rFonts w:hint="eastAsia" w:eastAsia="仿宋_GB2312"/>
          <w:sz w:val="32"/>
          <w:lang w:eastAsia="zh-CN"/>
        </w:rPr>
        <w:t>，</w:t>
      </w:r>
      <w:r>
        <w:rPr>
          <w:rFonts w:hint="eastAsia" w:eastAsia="仿宋_GB2312"/>
          <w:sz w:val="32"/>
          <w:lang w:val="en-US" w:eastAsia="zh-CN"/>
        </w:rPr>
        <w:t>本指标得分8分</w:t>
      </w:r>
      <w:r>
        <w:rPr>
          <w:rFonts w:hint="eastAsia" w:eastAsia="仿宋_GB2312"/>
          <w:sz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eastAsia="仿宋_GB2312"/>
          <w:sz w:val="32"/>
          <w:lang w:val="en-US" w:eastAsia="zh-CN"/>
        </w:rPr>
      </w:pPr>
      <w:r>
        <w:rPr>
          <w:rFonts w:hint="eastAsia" w:eastAsia="仿宋_GB2312"/>
          <w:sz w:val="32"/>
          <w:lang w:val="en-US" w:eastAsia="zh-CN"/>
        </w:rPr>
        <w:t>课程点击率指标。2021学年参与“圆梦计划”的合作院校学习形式为网络教育、成人高考、开放教育，授课形式为线上、面授相结合。计划课程点击率≥95%，根据2021级“圆梦计划”课程开展及完成情况统计，全省各合作院校应完成总学时为1725381，实际完成学时为1650941，实际完成率为95.69%，本指标得分8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eastAsia="仿宋_GB2312"/>
          <w:sz w:val="32"/>
          <w:lang w:val="en-US" w:eastAsia="zh-CN"/>
        </w:rPr>
      </w:pPr>
      <w:r>
        <w:rPr>
          <w:rFonts w:hint="eastAsia" w:eastAsia="仿宋_GB2312"/>
          <w:sz w:val="32"/>
          <w:lang w:val="en-US" w:eastAsia="zh-CN"/>
        </w:rPr>
        <w:t>人均资助标准指标。《广东省2021年新生代产业工人“圆梦计划”工作实施方案》明确规定，“圆梦计划”学员培养费用为5,000元/人。其中，省财政补助2,000元/人，市财政和社会募集资金统筹解决2,000元/人，被录取学员需自缴1,000元。根据《关于划拨2021年招录圆梦学员培养费用的通知》，省级学员培养费用划拨标准为2,000元/人，共资助9991人，资助总额为1,998.2万元，本指标得分8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2" w:firstLineChars="200"/>
        <w:textAlignment w:val="auto"/>
        <w:rPr>
          <w:rFonts w:hint="default" w:eastAsia="仿宋_GB2312"/>
          <w:b/>
          <w:bCs/>
          <w:sz w:val="32"/>
          <w:lang w:val="en-US" w:eastAsia="zh-CN"/>
        </w:rPr>
      </w:pPr>
      <w:r>
        <w:rPr>
          <w:rFonts w:hint="default" w:eastAsia="仿宋_GB2312"/>
          <w:b/>
          <w:bCs/>
          <w:sz w:val="32"/>
          <w:lang w:val="en-US" w:eastAsia="zh-CN"/>
        </w:rPr>
        <w:t>（</w:t>
      </w:r>
      <w:r>
        <w:rPr>
          <w:rFonts w:hint="eastAsia" w:eastAsia="仿宋_GB2312"/>
          <w:b/>
          <w:bCs/>
          <w:sz w:val="32"/>
          <w:lang w:val="en-US" w:eastAsia="zh-CN"/>
        </w:rPr>
        <w:t>2</w:t>
      </w:r>
      <w:r>
        <w:rPr>
          <w:rFonts w:hint="default" w:eastAsia="仿宋_GB2312"/>
          <w:b/>
          <w:bCs/>
          <w:sz w:val="32"/>
          <w:lang w:val="en-US" w:eastAsia="zh-CN"/>
        </w:rPr>
        <w:t>）</w:t>
      </w:r>
      <w:r>
        <w:rPr>
          <w:rFonts w:hint="eastAsia" w:eastAsia="仿宋_GB2312"/>
          <w:b/>
          <w:bCs/>
          <w:sz w:val="32"/>
          <w:lang w:val="en-US" w:eastAsia="zh-CN"/>
        </w:rPr>
        <w:t>项目效益情况</w:t>
      </w:r>
      <w:r>
        <w:rPr>
          <w:rFonts w:hint="default" w:eastAsia="仿宋_GB2312"/>
          <w:b/>
          <w:bCs/>
          <w:sz w:val="32"/>
          <w:lang w:val="en-US" w:eastAsia="zh-CN"/>
        </w:rPr>
        <w:t>。</w:t>
      </w:r>
      <w:r>
        <w:rPr>
          <w:rFonts w:hint="eastAsia" w:eastAsia="仿宋_GB2312"/>
          <w:b/>
          <w:bCs/>
          <w:sz w:val="32"/>
          <w:lang w:val="en-US" w:eastAsia="zh-CN"/>
        </w:rPr>
        <w:t>满分40分，评价得40分，得分率100%。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360" w:lineRule="auto"/>
        <w:ind w:firstLine="640" w:firstLineChars="200"/>
        <w:textAlignment w:val="auto"/>
        <w:rPr>
          <w:rFonts w:hint="default" w:ascii="Times New Roman" w:hAnsi="Times New Roman" w:cs="Times New Roman"/>
          <w:sz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项目对全省新生代产业工人学历提升的影响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指标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根据《关于“圆梦计划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广东省新生代产业工人骨干培养发展工程”项目开展情况的报告》，“圆梦计划”项目开展以来，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让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我省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读不起大学、没机会踏入大学的新生代产业工人以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天一元”读大学模式参加高起专、专升本层次的高等学历继续教育学习，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在助力我省新生代产业工人提升学历和技能水平，促进实现职业进阶和向上发展，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为广东制造实现高质量发展输送青年人才力量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等方面具有积极影响，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曾两次被纳入省政府十件民生实事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，本指标得分20分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360" w:lineRule="auto"/>
        <w:ind w:firstLine="640" w:firstLineChars="200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圆梦计划学员对项目满意度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指标。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“圆梦计划”学员满意度调查结果显示，56.69%的“圆梦计划”学员对项目“非常满意”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，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“40.94”%的“圆梦计划”学员对项目“比较满意”，总体上“满意率”达97.63%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，本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指标得分20分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2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/>
          <w:bCs/>
          <w:sz w:val="32"/>
          <w:lang w:val="en-US" w:eastAsia="zh-CN"/>
        </w:rPr>
        <w:t>.主要绩效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ind w:firstLine="642" w:firstLineChars="200"/>
        <w:textAlignment w:val="auto"/>
        <w:outlineLvl w:val="9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eastAsia="仿宋_GB2312" w:cs="仿宋_GB2312"/>
          <w:b/>
          <w:bCs/>
          <w:color w:val="auto"/>
          <w:kern w:val="0"/>
          <w:sz w:val="32"/>
          <w:szCs w:val="32"/>
          <w:lang w:val="en-US" w:eastAsia="zh-CN" w:bidi="ar-SA"/>
        </w:rPr>
        <w:t>一是</w:t>
      </w:r>
      <w:r>
        <w:rPr>
          <w:rFonts w:hint="eastAsia" w:ascii="Times New Roman" w:hAnsi="Times New Roman" w:eastAsia="仿宋_GB2312" w:cs="仿宋_GB2312"/>
          <w:b/>
          <w:bCs/>
          <w:color w:val="auto"/>
          <w:kern w:val="0"/>
          <w:sz w:val="32"/>
          <w:szCs w:val="32"/>
          <w:lang w:val="en-US" w:eastAsia="zh-CN" w:bidi="ar-SA"/>
        </w:rPr>
        <w:t>助力新生代产业工人提升学历，</w:t>
      </w:r>
      <w:r>
        <w:rPr>
          <w:rFonts w:hint="eastAsia" w:ascii="Times New Roman" w:hAnsi="Times New Roman" w:eastAsia="仿宋_GB2312" w:cs="仿宋_GB2312"/>
          <w:b/>
          <w:bCs/>
          <w:color w:val="auto"/>
          <w:kern w:val="0"/>
          <w:sz w:val="32"/>
          <w:szCs w:val="32"/>
          <w:highlight w:val="none"/>
          <w:lang w:val="en-US" w:eastAsia="zh-CN" w:bidi="ar-SA"/>
        </w:rPr>
        <w:t>促进实现职业进阶和向上发展。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“圆梦计划”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始终瞄准新生代产业工人提升学历水平与综合素质这一核心诉求，积极链接政企社资源，让读不起大学、没机会踏入大学的新生代产业工人以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“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一天一元”读大学模式入读“圆梦计划”，参加高起专、专升本层次的高等学历继续教育学习。项目实施以来，“圆梦计划”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合作院校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从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2010年的1家（北京大学）发展到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如今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101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家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省内外知名合作院校，通过在职教育，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为新生代产业工人提供了自我提升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和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向上发展的机会，一定程度上打破了工人阶级的社会固化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。</w:t>
      </w:r>
      <w:r>
        <w:rPr>
          <w:rFonts w:hint="eastAsia" w:ascii="Times New Roman" w:hAnsi="Times New Roman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/>
        </w:rPr>
        <w:t>圆梦学员通过“圆梦计划”这一平台，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在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各自的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工作岗位上实现和创造了更高的价值，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在自己的人生道路上行走出新的轨迹高度。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ind w:firstLine="642" w:firstLineChars="200"/>
        <w:textAlignment w:val="auto"/>
        <w:outlineLvl w:val="9"/>
        <w:rPr>
          <w:rFonts w:hint="eastAsia" w:ascii="Times New Roman" w:hAnsi="Times New Roman" w:eastAsia="仿宋_GB2312" w:cs="仿宋_GB2312"/>
          <w:b w:val="0"/>
          <w:bCs w:val="0"/>
          <w:kern w:val="2"/>
          <w:sz w:val="32"/>
          <w:szCs w:val="32"/>
          <w:highlight w:val="yellow"/>
          <w:lang w:val="en-US" w:eastAsia="zh-CN"/>
        </w:rPr>
      </w:pPr>
      <w:r>
        <w:rPr>
          <w:rFonts w:hint="eastAsia" w:eastAsia="仿宋_GB2312" w:cs="仿宋_GB2312"/>
          <w:b/>
          <w:bCs/>
          <w:color w:val="auto"/>
          <w:kern w:val="0"/>
          <w:sz w:val="32"/>
          <w:szCs w:val="32"/>
          <w:lang w:val="en-US" w:eastAsia="zh-CN" w:bidi="ar-SA"/>
        </w:rPr>
        <w:t>二是</w:t>
      </w:r>
      <w:r>
        <w:rPr>
          <w:rFonts w:hint="eastAsia" w:ascii="Times New Roman" w:hAnsi="Times New Roman" w:eastAsia="仿宋_GB2312" w:cs="仿宋_GB2312"/>
          <w:b/>
          <w:bCs/>
          <w:color w:val="auto"/>
          <w:kern w:val="0"/>
          <w:sz w:val="32"/>
          <w:szCs w:val="32"/>
          <w:lang w:val="en-US" w:eastAsia="zh-CN" w:bidi="ar-SA"/>
        </w:rPr>
        <w:t>提升新生代产业工人技能水平，为广东制造实现高质量发展输送青年人才力量。</w:t>
      </w:r>
      <w:r>
        <w:rPr>
          <w:rFonts w:hint="eastAsia" w:ascii="Times New Roman" w:hAnsi="Times New Roman" w:eastAsia="仿宋_GB2312" w:cs="仿宋_GB2312"/>
          <w:b w:val="0"/>
          <w:bCs w:val="0"/>
          <w:color w:val="000000"/>
          <w:kern w:val="0"/>
          <w:sz w:val="32"/>
          <w:szCs w:val="32"/>
        </w:rPr>
        <w:t>“圆梦计划”始终坚持围绕中心、服务大局，立足广东</w:t>
      </w:r>
      <w:r>
        <w:rPr>
          <w:rFonts w:hint="eastAsia" w:ascii="Times New Roman" w:hAnsi="Times New Roman" w:eastAsia="仿宋_GB2312" w:cs="仿宋_GB2312"/>
          <w:b w:val="0"/>
          <w:bCs w:val="0"/>
          <w:color w:val="000000"/>
          <w:kern w:val="0"/>
          <w:sz w:val="32"/>
          <w:szCs w:val="32"/>
          <w:lang w:eastAsia="zh-CN"/>
        </w:rPr>
        <w:t>推动经济高质量发展</w:t>
      </w:r>
      <w:r>
        <w:rPr>
          <w:rFonts w:hint="eastAsia" w:ascii="Times New Roman" w:hAnsi="Times New Roman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/>
        </w:rPr>
        <w:t>的</w:t>
      </w:r>
      <w:r>
        <w:rPr>
          <w:rFonts w:hint="eastAsia" w:ascii="Times New Roman" w:hAnsi="Times New Roman" w:eastAsia="仿宋_GB2312" w:cs="仿宋_GB2312"/>
          <w:b w:val="0"/>
          <w:bCs w:val="0"/>
          <w:color w:val="000000"/>
          <w:kern w:val="0"/>
          <w:sz w:val="32"/>
          <w:szCs w:val="32"/>
        </w:rPr>
        <w:t>核心任务</w:t>
      </w:r>
      <w:r>
        <w:rPr>
          <w:rFonts w:hint="eastAsia" w:ascii="Times New Roman" w:hAnsi="Times New Roman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/>
        </w:rPr>
        <w:t>，为贯彻落实</w:t>
      </w:r>
      <w:r>
        <w:rPr>
          <w:rFonts w:hint="eastAsia" w:ascii="Times New Roman" w:hAnsi="Times New Roman" w:eastAsia="仿宋_GB2312" w:cs="仿宋_GB2312"/>
          <w:b w:val="0"/>
          <w:bCs w:val="0"/>
          <w:color w:val="000000"/>
          <w:kern w:val="0"/>
          <w:sz w:val="32"/>
          <w:szCs w:val="32"/>
        </w:rPr>
        <w:t>省政府“粤菜师傅”“广东技工”“南粤家政”三项工程部署要求</w:t>
      </w:r>
      <w:r>
        <w:rPr>
          <w:rFonts w:hint="eastAsia" w:ascii="Times New Roman" w:hAnsi="Times New Roman" w:eastAsia="仿宋_GB2312" w:cs="仿宋_GB2312"/>
          <w:b w:val="0"/>
          <w:bCs w:val="0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/>
        </w:rPr>
        <w:t>2021年起，</w:t>
      </w:r>
      <w:r>
        <w:rPr>
          <w:rFonts w:hint="eastAsia" w:ascii="Times New Roman" w:hAnsi="Times New Roman" w:eastAsia="仿宋_GB2312" w:cs="仿宋_GB2312"/>
          <w:b w:val="0"/>
          <w:bCs w:val="0"/>
          <w:color w:val="000000"/>
          <w:kern w:val="0"/>
          <w:sz w:val="32"/>
          <w:szCs w:val="32"/>
          <w:lang w:eastAsia="zh-CN"/>
        </w:rPr>
        <w:t>“</w:t>
      </w:r>
      <w:r>
        <w:rPr>
          <w:rFonts w:hint="eastAsia" w:ascii="Times New Roman" w:hAnsi="Times New Roman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/>
        </w:rPr>
        <w:t>圆梦计划”</w:t>
      </w:r>
      <w:r>
        <w:rPr>
          <w:rFonts w:hint="eastAsia" w:ascii="Times New Roman" w:hAnsi="Times New Roman" w:eastAsia="仿宋_GB2312" w:cs="仿宋_GB2312"/>
          <w:b w:val="0"/>
          <w:bCs w:val="0"/>
          <w:color w:val="000000"/>
          <w:kern w:val="0"/>
          <w:sz w:val="32"/>
          <w:szCs w:val="32"/>
        </w:rPr>
        <w:t>结合全省战略性新兴产业、先进制造业发展和现代化经济体系建设需求，不断优化调整合作院校及专业设置，</w:t>
      </w:r>
      <w:r>
        <w:rPr>
          <w:rFonts w:hint="eastAsia" w:ascii="Times New Roman" w:hAnsi="Times New Roman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/>
        </w:rPr>
        <w:t>在专业设置上逐步向技能型专业倾斜，技能型专业招生比例由2021年的51.7%提高至2022年的60.05%，逐步转型升级为</w:t>
      </w:r>
      <w:r>
        <w:rPr>
          <w:rFonts w:hint="eastAsia" w:ascii="Times New Roman" w:hAnsi="Times New Roman" w:eastAsia="仿宋_GB2312" w:cs="仿宋_GB2312"/>
          <w:b w:val="0"/>
          <w:bCs w:val="0"/>
          <w:color w:val="000000"/>
          <w:kern w:val="0"/>
          <w:sz w:val="32"/>
          <w:szCs w:val="32"/>
        </w:rPr>
        <w:t>以技能型专业为主的高等学历教育</w:t>
      </w:r>
      <w:r>
        <w:rPr>
          <w:rFonts w:hint="eastAsia" w:ascii="Times New Roman" w:hAnsi="Times New Roman" w:eastAsia="仿宋_GB2312" w:cs="仿宋_GB2312"/>
          <w:b w:val="0"/>
          <w:bCs w:val="0"/>
          <w:color w:val="000000"/>
          <w:kern w:val="0"/>
          <w:sz w:val="32"/>
          <w:szCs w:val="32"/>
          <w:lang w:eastAsia="zh-CN"/>
        </w:rPr>
        <w:t>。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“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圆梦计划”在新生代产业工人技能学习方面实现“教科书”和“流水线”的有效融合，进一步提升新生代产业工人的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技能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素质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和</w:t>
      </w:r>
      <w:r>
        <w:rPr>
          <w:rFonts w:hint="eastAsia" w:ascii="Times New Roman" w:hAnsi="Times New Roman" w:eastAsia="仿宋_GB2312" w:cs="仿宋_GB2312"/>
          <w:b w:val="0"/>
          <w:bCs w:val="0"/>
          <w:kern w:val="2"/>
          <w:sz w:val="32"/>
          <w:szCs w:val="32"/>
        </w:rPr>
        <w:t>就业创业竞争力</w:t>
      </w:r>
      <w:r>
        <w:rPr>
          <w:rFonts w:hint="eastAsia" w:ascii="Times New Roman" w:hAnsi="Times New Roman" w:eastAsia="仿宋_GB2312" w:cs="仿宋_GB2312"/>
          <w:b w:val="0"/>
          <w:bCs w:val="0"/>
          <w:kern w:val="2"/>
          <w:sz w:val="32"/>
          <w:szCs w:val="32"/>
          <w:lang w:eastAsia="zh-CN"/>
        </w:rPr>
        <w:t>，强化</w:t>
      </w:r>
      <w:r>
        <w:rPr>
          <w:rFonts w:hint="eastAsia" w:ascii="Times New Roman" w:hAnsi="Times New Roman" w:eastAsia="仿宋_GB2312" w:cs="仿宋_GB2312"/>
          <w:b w:val="0"/>
          <w:bCs w:val="0"/>
          <w:kern w:val="2"/>
          <w:sz w:val="32"/>
          <w:szCs w:val="32"/>
          <w:lang w:val="en-US" w:eastAsia="zh-CN"/>
        </w:rPr>
        <w:t>我省</w:t>
      </w:r>
      <w:r>
        <w:rPr>
          <w:rFonts w:hint="eastAsia" w:ascii="Times New Roman" w:hAnsi="Times New Roman" w:eastAsia="仿宋_GB2312" w:cs="仿宋_GB2312"/>
          <w:b w:val="0"/>
          <w:bCs w:val="0"/>
          <w:kern w:val="2"/>
          <w:sz w:val="32"/>
          <w:szCs w:val="32"/>
          <w:lang w:eastAsia="zh-CN"/>
        </w:rPr>
        <w:t>技能型青年人才培养，</w:t>
      </w:r>
      <w:r>
        <w:rPr>
          <w:rFonts w:hint="eastAsia" w:ascii="Times New Roman" w:hAnsi="Times New Roman" w:eastAsia="仿宋_GB2312" w:cs="仿宋_GB2312"/>
          <w:b w:val="0"/>
          <w:bCs w:val="0"/>
          <w:kern w:val="2"/>
          <w:sz w:val="32"/>
          <w:szCs w:val="32"/>
        </w:rPr>
        <w:t>为广东经济高质量发展提供技能人才支撑</w:t>
      </w:r>
      <w:r>
        <w:rPr>
          <w:rFonts w:hint="eastAsia" w:ascii="Times New Roman" w:hAnsi="Times New Roman" w:eastAsia="仿宋_GB2312" w:cs="仿宋_GB2312"/>
          <w:b w:val="0"/>
          <w:bCs w:val="0"/>
          <w:kern w:val="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仿宋_GB2312"/>
          <w:b/>
          <w:bCs/>
          <w:color w:val="auto"/>
          <w:kern w:val="0"/>
          <w:sz w:val="32"/>
          <w:szCs w:val="32"/>
          <w:lang w:val="en-US" w:eastAsia="zh-CN" w:bidi="ar-SA"/>
        </w:rPr>
        <w:t>三</w:t>
      </w:r>
      <w:r>
        <w:rPr>
          <w:rFonts w:hint="eastAsia" w:eastAsia="仿宋_GB2312" w:cs="仿宋_GB2312"/>
          <w:b/>
          <w:bCs/>
          <w:color w:val="auto"/>
          <w:kern w:val="0"/>
          <w:sz w:val="32"/>
          <w:szCs w:val="32"/>
          <w:lang w:val="en-US" w:eastAsia="zh-CN" w:bidi="ar-SA"/>
        </w:rPr>
        <w:t>是</w:t>
      </w:r>
      <w:r>
        <w:rPr>
          <w:rFonts w:hint="eastAsia" w:ascii="Times New Roman" w:hAnsi="Times New Roman" w:eastAsia="仿宋_GB2312" w:cs="仿宋_GB2312"/>
          <w:b/>
          <w:bCs/>
          <w:color w:val="auto"/>
          <w:kern w:val="0"/>
          <w:sz w:val="32"/>
          <w:szCs w:val="32"/>
          <w:lang w:val="en-US" w:eastAsia="zh-CN" w:bidi="ar-SA"/>
        </w:rPr>
        <w:t>强化新生代产业工人思想引领，不断巩固和扩大党执政的青年群众基础。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重点围绕习近平新时代中国特色社会主义思想、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党的二十大精神、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习近平总书记在庆祝中国共产主义青年团成立100周年大会上的重要讲话精神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等</w:t>
      </w:r>
      <w:r>
        <w:rPr>
          <w:rFonts w:hint="eastAsia" w:eastAsia="仿宋_GB2312" w:cs="仿宋_GB2312"/>
          <w:b w:val="0"/>
          <w:bCs w:val="0"/>
          <w:sz w:val="32"/>
          <w:szCs w:val="32"/>
          <w:lang w:val="en-US" w:eastAsia="zh-CN"/>
        </w:rPr>
        <w:t>。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“圆梦计划”将圆梦学员作为团组织直接联系青年和开展党团工作的重点对象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注重过程中的思想引领。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省市两级每年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遴选组织骨干学员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参加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“圆梦计划”新生代产业工人“青马工程”培训班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通过理论学习、研讨学习、实践学习等课程，强化党的理想信念教育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深化学员对党的认知和认同，重点提升优秀学员的政治素养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，充分发挥“青马工程”学员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在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圆梦学员中学习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传播党的主张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学习党的理念中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的示范引领作用，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累计面向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超1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000名骨干学员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完成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培训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。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同时，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按照每年招生名额10%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的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比例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遴选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政治过硬、素质优良、作风扎实的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圆梦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学员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纳入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人才库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建立常态化联系并跟踪培养，为推优等储备优秀人才。</w:t>
      </w:r>
    </w:p>
    <w:p>
      <w:pPr>
        <w:pageBreakBefore w:val="0"/>
        <w:widowControl w:val="0"/>
        <w:numPr>
          <w:ilvl w:val="0"/>
          <w:numId w:val="0"/>
        </w:numPr>
        <w:kinsoku/>
        <w:topLinePunct w:val="0"/>
        <w:bidi w:val="0"/>
        <w:snapToGrid w:val="0"/>
        <w:spacing w:beforeLines="0" w:afterLines="0" w:line="360" w:lineRule="auto"/>
        <w:ind w:left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专项资金使用绩效存在的问题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团省委在组织开展“圆梦计划”项目过程中，明确“圆梦计划”实施目标，制定切实可行的实施方案及资金管理办法，资金支付规范，确保专项资金专款专用，但也存在一些问题。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2" w:firstLineChars="200"/>
        <w:textAlignment w:val="auto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 w:bidi="ar-SA"/>
        </w:rPr>
        <w:t>一是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在专项资金支出进度安排上，虽已于年初制定每月支出计划，并提前下发资金拨付通知，但在</w:t>
      </w:r>
      <w:r>
        <w:rPr>
          <w:rFonts w:hint="eastAsia" w:eastAsia="仿宋_GB2312" w:cs="Times New Roman"/>
          <w:kern w:val="2"/>
          <w:sz w:val="32"/>
          <w:szCs w:val="32"/>
          <w:lang w:val="en-US" w:eastAsia="zh-CN" w:bidi="ar-SA"/>
        </w:rPr>
        <w:t>实际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工作中，</w:t>
      </w:r>
      <w:r>
        <w:rPr>
          <w:rFonts w:hint="eastAsia" w:eastAsia="仿宋_GB2312" w:cs="Times New Roman"/>
          <w:kern w:val="2"/>
          <w:sz w:val="32"/>
          <w:szCs w:val="32"/>
          <w:lang w:val="en-US" w:eastAsia="zh-CN" w:bidi="ar-SA"/>
        </w:rPr>
        <w:t>专项资金拨付受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地市及合作院校提交申请材料的进度</w:t>
      </w:r>
      <w:r>
        <w:rPr>
          <w:rFonts w:hint="eastAsia" w:eastAsia="仿宋_GB2312" w:cs="Times New Roman"/>
          <w:kern w:val="2"/>
          <w:sz w:val="32"/>
          <w:szCs w:val="32"/>
          <w:lang w:val="en-US" w:eastAsia="zh-CN" w:bidi="ar-SA"/>
        </w:rPr>
        <w:t>影响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，存在一定程度的被动性。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2" w:firstLineChars="200"/>
        <w:textAlignment w:val="auto"/>
        <w:rPr>
          <w:rFonts w:hint="default" w:ascii="Times New Roman" w:hAnsi="Times New Roman" w:cs="Times New Roman"/>
          <w:sz w:val="32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 w:bidi="ar-SA"/>
        </w:rPr>
        <w:t>二是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在市级配套经费上，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部分粤东西北地市配套经费不足导致项目较难实现提质增效。当前，全省21个地市“圆梦计划”配套经费构成主要为：全额市级财政经费、部分市级财政经费、社会募集资金（含企业捐助及合作院校让利）等，受新冠肺炎疫情影响，地市层面在社会募集资金方面存在较大的压力。</w:t>
      </w:r>
    </w:p>
    <w:p>
      <w:pPr>
        <w:snapToGrid w:val="0"/>
        <w:spacing w:beforeLines="0" w:afterLines="0" w:line="360" w:lineRule="auto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三、改进意见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2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一是</w:t>
      </w:r>
      <w:r>
        <w:rPr>
          <w:rFonts w:hint="eastAsia" w:ascii="Times New Roman" w:hAnsi="Times New Roman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  <w:t>优化专项资金支出安排。根据</w:t>
      </w:r>
      <w:r>
        <w:rPr>
          <w:rFonts w:hint="eastAsia" w:ascii="Times New Roman" w:hAnsi="Times New Roman" w:eastAsia="仿宋_GB2312" w:cs="仿宋_GB2312"/>
          <w:sz w:val="32"/>
          <w:szCs w:val="32"/>
        </w:rPr>
        <w:t>《广东省“圆梦计划”补助资金管理办法》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要求，细化专项资金年度支出计划，制定工作进度表，明确时间节点，分阶段分批次开展省级学员培养费用划拨，提高省级专项资金支出效率和使用效能。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2" w:firstLineChars="200"/>
        <w:jc w:val="both"/>
        <w:textAlignment w:val="auto"/>
        <w:rPr>
          <w:rFonts w:hint="eastAsia" w:ascii="Times New Roman" w:hAnsi="Times New Roman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Times New Roman" w:hAnsi="Times New Roman" w:eastAsia="仿宋_GB2312" w:cs="仿宋_GB2312"/>
          <w:b/>
          <w:bCs/>
          <w:color w:val="000000"/>
          <w:sz w:val="32"/>
          <w:szCs w:val="32"/>
          <w:highlight w:val="none"/>
          <w:lang w:eastAsia="zh-CN"/>
        </w:rPr>
        <w:t>是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  <w:lang w:val="en-US" w:eastAsia="zh-CN"/>
        </w:rPr>
        <w:t>加强地市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  <w:lang w:eastAsia="zh-CN"/>
        </w:rPr>
        <w:t>经费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>保障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  <w:lang w:eastAsia="zh-CN"/>
        </w:rPr>
        <w:t>。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  <w:lang w:val="en-US" w:eastAsia="zh-CN"/>
        </w:rPr>
        <w:t>鼓励地市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加强政企社资源整合，积极推动将“圆梦计划”学员培养费用</w:t>
      </w:r>
      <w:r>
        <w:rPr>
          <w:rFonts w:hint="eastAsia" w:ascii="Times New Roman" w:hAnsi="Times New Roman" w:eastAsia="仿宋_GB2312" w:cs="仿宋_GB2312"/>
          <w:sz w:val="32"/>
          <w:szCs w:val="32"/>
        </w:rPr>
        <w:t>纳入市级财政预算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同时，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拓宽项目资金保障渠道，结合各地产业布局与产业工人分布，主动加强与学校、企业，尤其是当地大型企业、龙头企业沟通，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全面落实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市级配套</w:t>
      </w:r>
      <w:r>
        <w:rPr>
          <w:rFonts w:hint="eastAsia" w:ascii="Times New Roman" w:hAnsi="Times New Roman" w:eastAsia="仿宋_GB2312" w:cs="仿宋_GB2312"/>
          <w:sz w:val="32"/>
          <w:szCs w:val="32"/>
        </w:rPr>
        <w:t>费用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。</w:t>
      </w:r>
    </w:p>
    <w:p>
      <w:pPr>
        <w:snapToGrid w:val="0"/>
        <w:spacing w:beforeLines="0" w:afterLines="0" w:line="360" w:lineRule="auto"/>
        <w:rPr>
          <w:rFonts w:hint="default" w:ascii="Times New Roman" w:hAnsi="Times New Roman" w:cs="Times New Roman"/>
          <w:sz w:val="32"/>
        </w:rPr>
      </w:pPr>
    </w:p>
    <w:sectPr>
      <w:footerReference r:id="rId3" w:type="default"/>
      <w:pgSz w:w="11906" w:h="16838"/>
      <w:pgMar w:top="1928" w:right="1417" w:bottom="1417" w:left="1531" w:header="851" w:footer="992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方正书宋_GBK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Verdana">
    <w:altName w:val="Ubuntu"/>
    <w:panose1 w:val="020B0604030504040204"/>
    <w:charset w:val="00"/>
    <w:family w:val="swiss"/>
    <w:pitch w:val="default"/>
    <w:sig w:usb0="00000000" w:usb1="00000000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2697480</wp:posOffset>
              </wp:positionH>
              <wp:positionV relativeFrom="paragraph">
                <wp:posOffset>-55245</wp:posOffset>
              </wp:positionV>
              <wp:extent cx="207010" cy="19367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207010" cy="1936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false" anchor="t" anchorCtr="false" forceAA="false" upright="false" compatLnSpc="true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12.4pt;margin-top:-4.35pt;height:15.25pt;width:16.3pt;mso-position-horizontal-relative:margin;z-index:251659264;mso-width-relative:page;mso-height-relative:page;" filled="f" stroked="f" coordsize="21600,21600" o:gfxdata="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WAAAAZHJz&#10;L1BLAQIUABQAAAAIAIdO4kCc6LwS2AAAAAkBAAAPAAAAAAAAAAEAIAAAADgAAABkcnMvZG93bnJl&#10;di54bWxQSwECFAAUAAAACACHTuJAouhmICACAAApBAAADgAAAAAAAAABACAAAAA9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7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2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D1761B5"/>
    <w:multiLevelType w:val="singleLevel"/>
    <w:tmpl w:val="7D1761B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true"/>
  <w:bordersDoNotSurroundHeader w:val="false"/>
  <w:bordersDoNotSurroundFooter w:val="false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true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0YWMxOWY3MzkyZWExZmI0OTZmYTYzNjVlZWY1MWMifQ=="/>
  </w:docVars>
  <w:rsids>
    <w:rsidRoot w:val="00D52AF0"/>
    <w:rsid w:val="00091F07"/>
    <w:rsid w:val="00250902"/>
    <w:rsid w:val="00477A27"/>
    <w:rsid w:val="0058776C"/>
    <w:rsid w:val="00694323"/>
    <w:rsid w:val="009809B2"/>
    <w:rsid w:val="009D01C6"/>
    <w:rsid w:val="00A7227F"/>
    <w:rsid w:val="00B052F9"/>
    <w:rsid w:val="00D52AF0"/>
    <w:rsid w:val="011B113B"/>
    <w:rsid w:val="01613A76"/>
    <w:rsid w:val="01D05763"/>
    <w:rsid w:val="03821B27"/>
    <w:rsid w:val="03DF50B8"/>
    <w:rsid w:val="040556DD"/>
    <w:rsid w:val="06475B39"/>
    <w:rsid w:val="065C4168"/>
    <w:rsid w:val="06BD677A"/>
    <w:rsid w:val="07C25702"/>
    <w:rsid w:val="080810AD"/>
    <w:rsid w:val="084B2DFD"/>
    <w:rsid w:val="098428FF"/>
    <w:rsid w:val="0CA12D93"/>
    <w:rsid w:val="0D3117F7"/>
    <w:rsid w:val="0DB937C0"/>
    <w:rsid w:val="0DCD726B"/>
    <w:rsid w:val="0E1414F7"/>
    <w:rsid w:val="0F930068"/>
    <w:rsid w:val="100E76C7"/>
    <w:rsid w:val="10220730"/>
    <w:rsid w:val="10A520F6"/>
    <w:rsid w:val="11614CCD"/>
    <w:rsid w:val="127C5E05"/>
    <w:rsid w:val="128408B0"/>
    <w:rsid w:val="130E5BDE"/>
    <w:rsid w:val="13F60B9E"/>
    <w:rsid w:val="147D5A2D"/>
    <w:rsid w:val="1534318F"/>
    <w:rsid w:val="15FC0BD6"/>
    <w:rsid w:val="161F42DB"/>
    <w:rsid w:val="1639022A"/>
    <w:rsid w:val="17197238"/>
    <w:rsid w:val="177A3293"/>
    <w:rsid w:val="19347E8E"/>
    <w:rsid w:val="19B66C57"/>
    <w:rsid w:val="1AB8354F"/>
    <w:rsid w:val="1AE87641"/>
    <w:rsid w:val="1BF27136"/>
    <w:rsid w:val="1C466FA1"/>
    <w:rsid w:val="1C6E31FF"/>
    <w:rsid w:val="1CF85E7B"/>
    <w:rsid w:val="1D506204"/>
    <w:rsid w:val="1E5D24F5"/>
    <w:rsid w:val="1E693CD3"/>
    <w:rsid w:val="1EF72FB7"/>
    <w:rsid w:val="1FD65862"/>
    <w:rsid w:val="1FDE7DE1"/>
    <w:rsid w:val="1FF16775"/>
    <w:rsid w:val="21D03917"/>
    <w:rsid w:val="221026C4"/>
    <w:rsid w:val="22347421"/>
    <w:rsid w:val="2285724A"/>
    <w:rsid w:val="24053694"/>
    <w:rsid w:val="24A5733E"/>
    <w:rsid w:val="26114A75"/>
    <w:rsid w:val="2677142D"/>
    <w:rsid w:val="273F0E65"/>
    <w:rsid w:val="27946C03"/>
    <w:rsid w:val="28100029"/>
    <w:rsid w:val="2810754D"/>
    <w:rsid w:val="287F46CA"/>
    <w:rsid w:val="28A8449C"/>
    <w:rsid w:val="28EA6ACC"/>
    <w:rsid w:val="2ABB4BBC"/>
    <w:rsid w:val="2AE963DE"/>
    <w:rsid w:val="2B195446"/>
    <w:rsid w:val="2BD676C9"/>
    <w:rsid w:val="2D53383D"/>
    <w:rsid w:val="2DB66F7C"/>
    <w:rsid w:val="30B5176D"/>
    <w:rsid w:val="30D833F3"/>
    <w:rsid w:val="31E12B81"/>
    <w:rsid w:val="332F5631"/>
    <w:rsid w:val="33563BCD"/>
    <w:rsid w:val="33AF185E"/>
    <w:rsid w:val="33F33536"/>
    <w:rsid w:val="342368CC"/>
    <w:rsid w:val="349607F1"/>
    <w:rsid w:val="34AA78C5"/>
    <w:rsid w:val="351228BB"/>
    <w:rsid w:val="3589251A"/>
    <w:rsid w:val="35FC6A7F"/>
    <w:rsid w:val="376D5966"/>
    <w:rsid w:val="38A5656B"/>
    <w:rsid w:val="39A74ADF"/>
    <w:rsid w:val="3A00100F"/>
    <w:rsid w:val="3AB66986"/>
    <w:rsid w:val="3CC71A46"/>
    <w:rsid w:val="3CDA52CD"/>
    <w:rsid w:val="3E6F60C9"/>
    <w:rsid w:val="3E876460"/>
    <w:rsid w:val="3F975C22"/>
    <w:rsid w:val="413E3054"/>
    <w:rsid w:val="41F00E52"/>
    <w:rsid w:val="42BD1BBE"/>
    <w:rsid w:val="42CC3CF1"/>
    <w:rsid w:val="44333D06"/>
    <w:rsid w:val="4687246A"/>
    <w:rsid w:val="4723555E"/>
    <w:rsid w:val="478A706C"/>
    <w:rsid w:val="4913734D"/>
    <w:rsid w:val="49A533D4"/>
    <w:rsid w:val="4AE17B1C"/>
    <w:rsid w:val="4B3509A5"/>
    <w:rsid w:val="4B681B07"/>
    <w:rsid w:val="4D1B69A4"/>
    <w:rsid w:val="4F267F1A"/>
    <w:rsid w:val="4FD855C1"/>
    <w:rsid w:val="508052B4"/>
    <w:rsid w:val="50D2381E"/>
    <w:rsid w:val="50DA703F"/>
    <w:rsid w:val="527620E7"/>
    <w:rsid w:val="529B362D"/>
    <w:rsid w:val="52A402A9"/>
    <w:rsid w:val="52CA4DF0"/>
    <w:rsid w:val="532E5683"/>
    <w:rsid w:val="53560B07"/>
    <w:rsid w:val="53764934"/>
    <w:rsid w:val="539A7A78"/>
    <w:rsid w:val="53A20A62"/>
    <w:rsid w:val="5515460D"/>
    <w:rsid w:val="56485D09"/>
    <w:rsid w:val="56866088"/>
    <w:rsid w:val="57441625"/>
    <w:rsid w:val="575035BF"/>
    <w:rsid w:val="57FC2064"/>
    <w:rsid w:val="5B080052"/>
    <w:rsid w:val="5B405B24"/>
    <w:rsid w:val="5B910A16"/>
    <w:rsid w:val="5DA402F0"/>
    <w:rsid w:val="5DF92C46"/>
    <w:rsid w:val="5EB61A78"/>
    <w:rsid w:val="60391067"/>
    <w:rsid w:val="61543B01"/>
    <w:rsid w:val="62631AFA"/>
    <w:rsid w:val="63C53657"/>
    <w:rsid w:val="65E257BB"/>
    <w:rsid w:val="669422EC"/>
    <w:rsid w:val="66DB4D83"/>
    <w:rsid w:val="6A7F478E"/>
    <w:rsid w:val="6CB73FA9"/>
    <w:rsid w:val="6DF33D83"/>
    <w:rsid w:val="6ECD1C4E"/>
    <w:rsid w:val="6F4C66AF"/>
    <w:rsid w:val="707B3132"/>
    <w:rsid w:val="71DD2EF1"/>
    <w:rsid w:val="723810E6"/>
    <w:rsid w:val="723C2D56"/>
    <w:rsid w:val="734949B7"/>
    <w:rsid w:val="746F2FAE"/>
    <w:rsid w:val="76055592"/>
    <w:rsid w:val="76793722"/>
    <w:rsid w:val="76E87EAB"/>
    <w:rsid w:val="77434389"/>
    <w:rsid w:val="789D7348"/>
    <w:rsid w:val="7B724D04"/>
    <w:rsid w:val="7BCD654A"/>
    <w:rsid w:val="7CB60386"/>
    <w:rsid w:val="7D314D2B"/>
    <w:rsid w:val="7DBF02E8"/>
    <w:rsid w:val="7DE90E67"/>
    <w:rsid w:val="7EC12B68"/>
    <w:rsid w:val="EBFC908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11">
    <w:name w:val="Default Paragraph Font"/>
    <w:link w:val="12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ind w:firstLine="420" w:firstLineChars="200"/>
    </w:pPr>
  </w:style>
  <w:style w:type="paragraph" w:styleId="3">
    <w:name w:val="toc 4"/>
    <w:basedOn w:val="1"/>
    <w:next w:val="1"/>
    <w:qFormat/>
    <w:uiPriority w:val="0"/>
    <w:pPr>
      <w:wordWrap w:val="0"/>
      <w:ind w:left="850"/>
      <w:jc w:val="both"/>
    </w:pPr>
    <w:rPr>
      <w:rFonts w:ascii="Calibri" w:hAnsi="Calibri" w:eastAsia="宋体" w:cs="黑体"/>
      <w:sz w:val="21"/>
      <w:szCs w:val="22"/>
      <w:lang w:val="en-US" w:eastAsia="zh-CN" w:bidi="ar-SA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index 6"/>
    <w:basedOn w:val="1"/>
    <w:next w:val="1"/>
    <w:qFormat/>
    <w:uiPriority w:val="0"/>
    <w:pPr>
      <w:ind w:left="1000" w:leftChars="1000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Body Text First Indent"/>
    <w:basedOn w:val="1"/>
    <w:qFormat/>
    <w:uiPriority w:val="0"/>
    <w:pPr>
      <w:ind w:firstLine="420" w:firstLineChars="100"/>
    </w:pPr>
    <w:rPr>
      <w:rFonts w:asciiTheme="minorAscii" w:hAnsiTheme="minorAscii"/>
    </w:rPr>
  </w:style>
  <w:style w:type="paragraph" w:customStyle="1" w:styleId="12">
    <w:name w:val=" Char Char"/>
    <w:basedOn w:val="1"/>
    <w:link w:val="11"/>
    <w:qFormat/>
    <w:uiPriority w:val="0"/>
    <w:pPr>
      <w:widowControl/>
      <w:adjustRightInd w:val="0"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3">
    <w:name w:val="_Style 5"/>
    <w:qFormat/>
    <w:uiPriority w:val="0"/>
    <w:pPr>
      <w:widowControl w:val="0"/>
      <w:ind w:firstLine="200" w:firstLineChars="20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character" w:customStyle="1" w:styleId="14">
    <w:name w:val="正文（缩进） Char"/>
    <w:link w:val="15"/>
    <w:qFormat/>
    <w:uiPriority w:val="0"/>
    <w:rPr>
      <w:kern w:val="0"/>
      <w:sz w:val="24"/>
      <w:szCs w:val="20"/>
    </w:rPr>
  </w:style>
  <w:style w:type="paragraph" w:customStyle="1" w:styleId="15">
    <w:name w:val="正文（缩进）"/>
    <w:basedOn w:val="1"/>
    <w:link w:val="14"/>
    <w:qFormat/>
    <w:uiPriority w:val="0"/>
    <w:pPr>
      <w:spacing w:before="156" w:beforeLines="50" w:after="156" w:afterLines="50" w:line="360" w:lineRule="auto"/>
      <w:ind w:firstLine="480" w:firstLineChars="200"/>
    </w:pPr>
    <w:rPr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 China</Company>
  <Pages>10</Pages>
  <Words>4126</Words>
  <Characters>4433</Characters>
  <Lines>2</Lines>
  <Paragraphs>1</Paragraphs>
  <TotalTime>36</TotalTime>
  <ScaleCrop>false</ScaleCrop>
  <LinksUpToDate>false</LinksUpToDate>
  <CharactersWithSpaces>4443</CharactersWithSpaces>
  <Application>WPS Office_11.8.2.10290_F1E327BC-269C-435d-A152-05C5408002CA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2017-02-28T17:12:00Z</dcterms:created>
  <dc:creator>崔竹英</dc:creator>
  <cp:lastModifiedBy>郑咏楠</cp:lastModifiedBy>
  <cp:lastPrinted>2021-06-29T22:50:00Z</cp:lastPrinted>
  <dcterms:modified xsi:type="dcterms:W3CDTF">2025-12-10T11:30:40Z</dcterms:modified>
  <dc:title>《规程》附件3-2：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2052-11.8.2.10290</vt:lpwstr>
  </property>
  <property fmtid="{D5CDD505-2E9C-101B-9397-08002B2CF9AE}" pid="3" name="ICV">
    <vt:lpwstr>2C5535532E704FDEB58513F5720F9476_13</vt:lpwstr>
  </property>
</Properties>
</file>